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关于《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  <w:t>郑州市国际科技合作与交流后补助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2"/>
          <w:sz w:val="44"/>
          <w:szCs w:val="44"/>
          <w:shd w:val="clear" w:fill="FFFFFF"/>
          <w:lang w:val="en-US" w:eastAsia="zh-CN" w:bidi="ar-SA"/>
        </w:rPr>
        <w:t>实施细则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（征求意见稿）》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的起草说明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一、起草背景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2016年10月，</w:t>
      </w:r>
      <w:r>
        <w:rPr>
          <w:rFonts w:hint="eastAsia" w:ascii="仿宋" w:hAnsi="仿宋" w:eastAsia="仿宋"/>
          <w:sz w:val="32"/>
          <w:szCs w:val="32"/>
        </w:rPr>
        <w:t>为提升城市科技创新能力和国际化水平，构建和完善国际科技合作体系，推进郑州国家自主创新示范区建设，</w:t>
      </w:r>
      <w:r>
        <w:rPr>
          <w:rFonts w:hint="eastAsia" w:ascii="仿宋" w:hAnsi="仿宋" w:eastAsia="仿宋"/>
          <w:sz w:val="32"/>
          <w:szCs w:val="32"/>
          <w:lang w:eastAsia="zh-CN"/>
        </w:rPr>
        <w:t>郑州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、市财政局联合出台了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《郑州市国际科技合作与交流资金后补助办法》（郑科[2016]86号）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2016年10月17日起施行，目前该办法已失效。2023年2月，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《中共郑州市委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郑州市人民政府关于率先构建一流创新生态 建设国家</w:t>
      </w:r>
      <w:bookmarkStart w:id="0" w:name="_Toc29080"/>
      <w:bookmarkStart w:id="1" w:name="_Toc939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创新高地的意见</w:t>
      </w:r>
      <w:bookmarkEnd w:id="0"/>
      <w:bookmarkEnd w:id="1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》（郑发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）出台。为主动融入全球创新网络，引导支持国际科技合作项目，进一步拓展与“一带一路”地区的国际科技合作。</w:t>
      </w:r>
      <w:bookmarkStart w:id="2" w:name="_GoBack"/>
      <w:bookmarkEnd w:id="2"/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市科技局在2016年《后补助办法》的基础上，结合新形势进行了修订调整，形成了《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郑州市国际科技合作与交流后补助实施细则（征求意见稿）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主要内容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《郑州市国际科技合作与交流后补助实施细则》共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第一章总则，共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条，明确了后补助的制定依据、适用范围和主体。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第二章组织机构和职责，共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4条，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明确了市科技局、市财政局、开发区、区主管部门的职责。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第三章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奖励性后补助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4条，阐明了奖励性后补助的支持对象及支持标准。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章国际科技合作与交流项目研发后补助，共4条，阐明了国际科技合作与交流项目研发后补助的支持对象、具备条件及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支持标准。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第五章申报程序，共1条，介绍了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奖励性后补助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国合项目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研发后补助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的申报程序及申报材料要求。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第六章管理及监督，共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3条，介绍了后补助资金使用要求。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第七章附则，共2条，介绍了该实施细则的解释权限及实施日期。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64FB42"/>
    <w:multiLevelType w:val="singleLevel"/>
    <w:tmpl w:val="E864FB4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MWQzMTgyYjc1ZGViNzEzZWEwZjgzN2ZjYWNjNGIifQ=="/>
    <w:docVar w:name="KSO_WPS_MARK_KEY" w:val="e7f7e011-5280-450f-9496-caba7b713107"/>
  </w:docVars>
  <w:rsids>
    <w:rsidRoot w:val="73416F01"/>
    <w:rsid w:val="47A05A32"/>
    <w:rsid w:val="5448554E"/>
    <w:rsid w:val="593A2ECA"/>
    <w:rsid w:val="651A6C53"/>
    <w:rsid w:val="7341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</w:style>
  <w:style w:type="paragraph" w:styleId="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644</Characters>
  <Lines>0</Lines>
  <Paragraphs>0</Paragraphs>
  <TotalTime>2</TotalTime>
  <ScaleCrop>false</ScaleCrop>
  <LinksUpToDate>false</LinksUpToDate>
  <CharactersWithSpaces>646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2023-03-29T02:51:00Z</dcterms:created>
  <dc:creator>hzc</dc:creator>
  <cp:lastModifiedBy>hzc</cp:lastModifiedBy>
  <cp:lastPrinted>2023-03-30T01:39:00Z</cp:lastPrinted>
  <dcterms:modified xsi:type="dcterms:W3CDTF">2023-03-30T02:06:44Z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AE11A2E871DC4483B8FD6AFC7E68A900</vt:lpwstr>
  </property>
</Properties>
</file>