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700" w:lineRule="exact"/>
        <w:ind w:firstLine="1100" w:firstLineChars="25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2021年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郑州市重大科技专项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700" w:lineRule="exact"/>
        <w:ind w:firstLine="1100" w:firstLineChars="25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申报指南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560" w:lineRule="exact"/>
        <w:ind w:firstLine="800" w:firstLineChars="250"/>
        <w:jc w:val="center"/>
        <w:textAlignment w:val="auto"/>
        <w:rPr>
          <w:rFonts w:hint="eastAsia" w:ascii="仿宋" w:hAnsi="仿宋" w:eastAsia="仿宋" w:cs="仿宋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专项一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自动驾驶车辆关键技术研发及多场景示范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研究内容：</w:t>
      </w:r>
      <w:r>
        <w:rPr>
          <w:rFonts w:hint="eastAsia" w:ascii="仿宋" w:hAnsi="仿宋" w:eastAsia="仿宋" w:cs="仿宋"/>
          <w:sz w:val="32"/>
          <w:szCs w:val="32"/>
        </w:rPr>
        <w:t>构建支持车-路-云一体化协同、高级别自动驾驶系统的集中式电子电气架构，研究电子电气架构安全冗余体系。研究学习型自动驾驶系统的高实时车载计算平台，开发交通参与者的长时域行为预测系统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面向全天候应用场景的自动驾驶系统。研究预期功能安全危害分析、安全分析、安全场景验证理论和方法，车载网络不同功能区域的安全等级划分、分域隔离及车载网络专用防火墙技术，建立高效可靠的信息安全体系。构建自动驾驶电动汽车测试场景数据库，研究“人-车-路-环”实时模拟与虚实融合交互集成测试技术，建立高效安全一体化的仿真测试平台。研究复杂工况下车辆纵横向协调控制技术，研发适应不同应用场景的自动驾驶车辆，实现百辆级规模化自动驾驶示范运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>目标要求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电子电气架构中核心零部件中央计算单元的功能安全等级大于等于ASILC。开发具有自动驾驶功能的计算平台1套。开发自动驾驶汽车预期功能安全测试案例库1套，测试用例≥300条，构建预期功能安全场景≥1000个。开放道路、典型作业道路自动驾驶场景库案例≥5000例。开发不少于3种具有自动驾驶功能的样车，样车纵向速度控制精度≤2公里/小时，有卫星信号覆盖的综合路况下，动态高精度增强定位误差≤20厘米，满足公交、环卫、物流、矿山等多场景应用，自动驾驶示范运行车辆不少于100辆，示范运营里程不少于100万公里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9" w:leftChars="152" w:right="0" w:firstLine="320" w:firstLineChars="100"/>
        <w:jc w:val="left"/>
        <w:textAlignment w:val="auto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专项二:智能传感器关键技术研发</w:t>
      </w:r>
      <w:r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及产业化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topLinePunct w:val="0"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研究内容：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针对目前传感器MEMS化与智能化的趋势，开展与CMOS工艺兼容的MEMS工艺制程研究；针对智能传感器的信号采集与处理一体化趋势，开展通用传感器信号处理芯片及通用IP核的研究；针对传感器多物理量敏感的需求，开发符合气、声、光、热、力、电等感知需求的高可靠封装方法；针对传感器从信号感知到信息感知的智能化趋势，开展传感器的多维度矫正算法以及自诊断、自标定等通用智能化技术研究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目标要求：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突破一批智能传感器核心关键技术，形成一批具有自主知识产权和核心竞争力的MEMS IR气体传感、压电式加速度传感器、标准化封装、测试工艺线等关键技术成果。最终形成典型MEMS IR气体传感器一款，压电式加速度传感器一款，标准化封装、测试工艺线一条。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    MEMS工艺：开发功能材料沉积、多层膜系应力匹配、体硅深刻蚀、光刻胶喷涂等MEMS工艺制程。自支撑镂空薄膜面积≥1*1mm；材料表面辐射效率&gt;85%（2-8um波段内）；压电常数 ≥500×10-12m/v；介电常数ε≤1500；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    MEMS器件：硅基红外探测器响应度&gt;103A/W；压电式加速度传感器响应灵敏度&gt;100mV/g;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   智能信号处理芯片：实现C/V转换、低噪声放大、高精度ADC、片上温度传感器等通用IP核的开发，以及其与ARM处理核、通信模块的数模集成设计。传感器电阻信号采集范围10Ω～10MΩ；传感器电压信号采集范围100uV～5V，传感器电流信号采集范围10nA～100mA；片上温度传感器精度≤0.1℃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topLinePunct w:val="0"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专项三、</w:t>
      </w:r>
      <w:r>
        <w:rPr>
          <w:rFonts w:hint="eastAsia" w:ascii="黑体" w:hAnsi="黑体" w:eastAsia="黑体" w:cs="黑体"/>
          <w:sz w:val="32"/>
          <w:szCs w:val="32"/>
        </w:rPr>
        <w:t>高端超硬材料及制品关键技术研究与工程化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topLinePunct w:val="0"/>
        <w:bidi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应用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研究内容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围绕超硬材料前沿技术及未来产业发展，开展高性能功能金刚石</w:t>
      </w:r>
      <w:r>
        <w:rPr>
          <w:rFonts w:hint="default" w:ascii="仿宋" w:hAnsi="仿宋" w:eastAsia="仿宋" w:cs="仿宋"/>
          <w:sz w:val="32"/>
          <w:szCs w:val="32"/>
        </w:rPr>
        <w:t>、立方氮化硼</w:t>
      </w:r>
      <w:r>
        <w:rPr>
          <w:rFonts w:hint="eastAsia" w:ascii="仿宋" w:hAnsi="仿宋" w:eastAsia="仿宋" w:cs="仿宋"/>
          <w:sz w:val="32"/>
          <w:szCs w:val="32"/>
        </w:rPr>
        <w:t>材料制备关键技术研究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面向半导体芯片制造的国家重大战略迫切需求，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第三代半导体材料加工用精密超精密超硬材料制品进行专项研发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工程化应用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目标要求：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突破</w:t>
      </w:r>
      <w:r>
        <w:rPr>
          <w:rFonts w:hint="eastAsia" w:ascii="仿宋" w:hAnsi="仿宋" w:eastAsia="仿宋" w:cs="仿宋"/>
          <w:sz w:val="32"/>
          <w:szCs w:val="32"/>
        </w:rPr>
        <w:t>金刚石功能材料、超硬制品等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核心关键技术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研制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 w:cs="仿宋"/>
          <w:sz w:val="32"/>
          <w:szCs w:val="32"/>
        </w:rPr>
        <w:t>大尺寸、高透过率、高热导率单晶/多晶金刚石材料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系列碳化硅材料加工用金刚石微粉、背面减薄砂轮、研磨抛光液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系列产品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exact"/>
        <w:ind w:firstLine="63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高性能功能金刚石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尺寸可达4英寸，翘曲度Warp≤40μm，单晶金刚石片热导率≥2000W/mK，多晶金刚石片热导率可达1800W/mK，实现在第三代半导体功率器件中的应用，传热路径热阻降低50%，微波组件输出功率提升3-5倍；开发出光学窗口金刚石材料，尺寸可达2英寸，红外透过率可达70%，表面粗糙度≤10nm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exact"/>
        <w:ind w:firstLine="63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第三代半导体加工用高端超硬材料及制品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碳化硅晶圆加工用金刚石微粉满足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切片厚度≤0.4mm，损伤层厚度≤15μm，表面粗糙度Ra≤1μm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背面减薄砂轮加工厚度偏差TTV≤2μm，损伤层厚度≤3.5μm；研磨抛光液去除效率≥5μm/h，抛光后表面粗糙度Ra≤0.2nm。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专项四 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重大疾病基因诊断系统的研制与应用</w:t>
      </w:r>
    </w:p>
    <w:p>
      <w:pPr>
        <w:spacing w:line="560" w:lineRule="exact"/>
        <w:ind w:firstLine="642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研究内容：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恶性肿瘤、病原感染、生殖缺陷防控等重大疾病精准诊断的迫切需求，开展基因检测试剂仪器及软件等系列关键技术的研究。针对高通量自动化医用测序平台的发展趋势，自主开发建立自动化样本处理技术、测序仪器的精密装配制造技术体系。研究生信分析并行计算技术，构建中国人群疾病数据库，实现分析解读自动化、智能化及规范化。</w:t>
      </w:r>
    </w:p>
    <w:p>
      <w:pPr>
        <w:overflowPunct w:val="0"/>
        <w:spacing w:line="560" w:lineRule="exact"/>
        <w:ind w:firstLine="642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目标要求：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突破一批基因诊断核心关键技术，开发一套具有自主知识产权和国际竞争力的重大疾病基因诊断系统，最终形成恶性肿瘤伴随诊断及疑难重症感染鉴定的诊断试剂10余项，自动化分析报告软件系统1套，基因检测仪及高通量样本前处理仪器2款。详细技术指标如下：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试剂技术指标要求：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恶性肿瘤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mNGS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生育生殖防控基因检测产品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不低于10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。肿瘤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组织点突变检出限≤1%，血液点突变检出限≤0.2%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。mNGS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细菌检出下限≤50 CFU/mL，病毒检测下限≤1000拷贝/mL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分析报告软件系统技术指标要求：分析报告软件系统不低于3项。建立4大类解读数据库，生信分析Pipeline准确性≥99%，UMI点突变算法LOD≤0.2%。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exact"/>
        <w:ind w:firstLine="638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基因检测仪及样本前处理技术指标：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高通量医用测序仪1款，测序已知参考序列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比对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符合率≥99%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，测序通量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≥400M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Reads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PE150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Q30≥75%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全自动样本前处理仪器1款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，无需手动定量，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小体积试剂加样精度CV＜10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%，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单个随机自动化检测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，运行小于6h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exact"/>
        <w:ind w:firstLine="638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16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A1079"/>
    <w:rsid w:val="188D371B"/>
    <w:rsid w:val="261A1079"/>
    <w:rsid w:val="559B1638"/>
    <w:rsid w:val="66EB6F4C"/>
    <w:rsid w:val="679918DC"/>
    <w:rsid w:val="6DC8DB1C"/>
    <w:rsid w:val="7FDF7A02"/>
    <w:rsid w:val="7FFCA0E9"/>
    <w:rsid w:val="B6FD5C83"/>
    <w:rsid w:val="BFFE6F37"/>
    <w:rsid w:val="DEAFCD6E"/>
    <w:rsid w:val="FBFDDA1E"/>
    <w:rsid w:val="FDF708A2"/>
    <w:rsid w:val="FDF7D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0" w:beforeLines="0" w:after="40" w:afterLines="0"/>
    </w:pPr>
    <w:rPr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unhideWhenUsed/>
    <w:qFormat/>
    <w:uiPriority w:val="99"/>
    <w:pPr>
      <w:widowControl w:val="0"/>
      <w:spacing w:before="100" w:beforeLines="0" w:beforeAutospacing="1" w:after="100" w:afterLines="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customStyle="1" w:styleId="10">
    <w:name w:val="Page Number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2021-10-11T15:10:00Z</dcterms:created>
  <dc:creator>红枫</dc:creator>
  <cp:lastModifiedBy>greatwall</cp:lastModifiedBy>
  <cp:lastPrinted>2021-10-12T07:51:00Z</cp:lastPrinted>
  <dcterms:modified xsi:type="dcterms:W3CDTF">2021-10-11T17:21:35Z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874280798A3A4FE3ADB09A1EA915B95A</vt:lpwstr>
  </property>
</Properties>
</file>