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i w:val="0"/>
          <w:caps w:val="0"/>
          <w:color w:val="333333"/>
          <w:spacing w:val="0"/>
          <w:sz w:val="32"/>
          <w:szCs w:val="32"/>
          <w:shd w:val="clear" w:fill="FFFFFF"/>
          <w:lang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eastAsia="zh-CN"/>
        </w:rPr>
        <w:t>附件</w:t>
      </w:r>
    </w:p>
    <w:p>
      <w:pPr>
        <w:keepNext w:val="0"/>
        <w:keepLines w:val="0"/>
        <w:widowControl/>
        <w:suppressLineNumbers w:val="0"/>
        <w:jc w:val="left"/>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i w:val="0"/>
          <w:caps w:val="0"/>
          <w:color w:val="333333"/>
          <w:spacing w:val="0"/>
          <w:sz w:val="44"/>
          <w:szCs w:val="44"/>
          <w:shd w:val="clear" w:fill="FFFFFF"/>
          <w:lang w:eastAsia="zh-CN"/>
        </w:rPr>
        <w:t>20</w:t>
      </w:r>
      <w:r>
        <w:rPr>
          <w:rFonts w:hint="eastAsia" w:asciiTheme="majorEastAsia" w:hAnsiTheme="majorEastAsia" w:eastAsiaTheme="majorEastAsia" w:cstheme="majorEastAsia"/>
          <w:b/>
          <w:bCs/>
          <w:i w:val="0"/>
          <w:caps w:val="0"/>
          <w:color w:val="333333"/>
          <w:spacing w:val="0"/>
          <w:sz w:val="44"/>
          <w:szCs w:val="44"/>
          <w:shd w:val="clear" w:fill="FFFFFF"/>
          <w:lang w:val="en-US" w:eastAsia="zh-CN"/>
        </w:rPr>
        <w:t>20</w:t>
      </w:r>
      <w:r>
        <w:rPr>
          <w:rFonts w:hint="eastAsia" w:asciiTheme="majorEastAsia" w:hAnsiTheme="majorEastAsia" w:eastAsiaTheme="majorEastAsia" w:cstheme="majorEastAsia"/>
          <w:b/>
          <w:bCs/>
          <w:i w:val="0"/>
          <w:caps w:val="0"/>
          <w:color w:val="333333"/>
          <w:spacing w:val="0"/>
          <w:sz w:val="44"/>
          <w:szCs w:val="44"/>
          <w:shd w:val="clear" w:fill="FFFFFF"/>
          <w:lang w:eastAsia="zh-CN"/>
        </w:rPr>
        <w:t>年度郑州市科技惠民计划拟立项项目表</w:t>
      </w:r>
    </w:p>
    <w:tbl>
      <w:tblPr>
        <w:tblStyle w:val="6"/>
        <w:tblW w:w="10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363"/>
        <w:gridCol w:w="2242"/>
        <w:gridCol w:w="1200"/>
        <w:gridCol w:w="1575"/>
        <w:gridCol w:w="1032"/>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b/>
                <w:bCs/>
                <w:i w:val="0"/>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b/>
                <w:bCs/>
                <w:i w:val="0"/>
                <w:caps w:val="0"/>
                <w:color w:val="333333"/>
                <w:spacing w:val="0"/>
                <w:sz w:val="24"/>
                <w:szCs w:val="24"/>
                <w:shd w:val="clear" w:fill="FFFFFF"/>
                <w:vertAlign w:val="baseline"/>
                <w:lang w:eastAsia="zh-CN"/>
              </w:rPr>
              <w:t>序号</w:t>
            </w:r>
          </w:p>
        </w:tc>
        <w:tc>
          <w:tcPr>
            <w:tcW w:w="2363" w:type="dxa"/>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252525"/>
                <w:kern w:val="2"/>
                <w:sz w:val="24"/>
                <w:szCs w:val="24"/>
                <w:vertAlign w:val="baseline"/>
                <w:lang w:val="en-US" w:eastAsia="zh-CN" w:bidi="ar-SA"/>
              </w:rPr>
            </w:pPr>
            <w:r>
              <w:rPr>
                <w:rFonts w:hint="eastAsia" w:asciiTheme="minorEastAsia" w:hAnsiTheme="minorEastAsia" w:eastAsiaTheme="minorEastAsia" w:cstheme="minorEastAsia"/>
                <w:b/>
                <w:bCs/>
                <w:color w:val="252525"/>
                <w:sz w:val="24"/>
                <w:szCs w:val="24"/>
                <w:vertAlign w:val="baseline"/>
                <w:lang w:val="en-US" w:eastAsia="zh-CN"/>
              </w:rPr>
              <w:t>项目名称</w:t>
            </w:r>
          </w:p>
        </w:tc>
        <w:tc>
          <w:tcPr>
            <w:tcW w:w="2242" w:type="dxa"/>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252525"/>
                <w:kern w:val="2"/>
                <w:sz w:val="24"/>
                <w:szCs w:val="24"/>
                <w:vertAlign w:val="baseline"/>
                <w:lang w:val="en-US" w:eastAsia="zh-CN" w:bidi="ar-SA"/>
              </w:rPr>
            </w:pPr>
            <w:r>
              <w:rPr>
                <w:rFonts w:hint="eastAsia" w:asciiTheme="minorEastAsia" w:hAnsiTheme="minorEastAsia" w:eastAsiaTheme="minorEastAsia" w:cstheme="minorEastAsia"/>
                <w:b/>
                <w:bCs/>
                <w:color w:val="252525"/>
                <w:sz w:val="24"/>
                <w:szCs w:val="24"/>
                <w:vertAlign w:val="baseline"/>
                <w:lang w:val="en-US" w:eastAsia="zh-CN"/>
              </w:rPr>
              <w:t>单位名称</w:t>
            </w:r>
          </w:p>
        </w:tc>
        <w:tc>
          <w:tcPr>
            <w:tcW w:w="1200" w:type="dxa"/>
            <w:vAlign w:val="center"/>
          </w:tcPr>
          <w:p>
            <w:pPr>
              <w:keepNext w:val="0"/>
              <w:keepLines w:val="0"/>
              <w:pageBreakBefore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outlineLvl w:val="9"/>
              <w:rPr>
                <w:rFonts w:hint="eastAsia" w:asciiTheme="minorEastAsia" w:hAnsiTheme="minorEastAsia" w:eastAsiaTheme="minorEastAsia" w:cstheme="minorEastAsia"/>
                <w:b/>
                <w:bCs/>
                <w:color w:val="252525"/>
                <w:sz w:val="24"/>
                <w:szCs w:val="24"/>
                <w:vertAlign w:val="baseline"/>
                <w:lang w:val="en-US" w:eastAsia="zh-CN"/>
              </w:rPr>
            </w:pPr>
            <w:r>
              <w:rPr>
                <w:rFonts w:hint="eastAsia" w:asciiTheme="minorEastAsia" w:hAnsiTheme="minorEastAsia" w:eastAsiaTheme="minorEastAsia" w:cstheme="minorEastAsia"/>
                <w:b/>
                <w:bCs/>
                <w:color w:val="252525"/>
                <w:sz w:val="24"/>
                <w:szCs w:val="24"/>
                <w:vertAlign w:val="baseline"/>
                <w:lang w:val="en-US" w:eastAsia="zh-CN"/>
              </w:rPr>
              <w:t>项目</w:t>
            </w:r>
          </w:p>
          <w:p>
            <w:pPr>
              <w:keepNext w:val="0"/>
              <w:keepLines w:val="0"/>
              <w:pageBreakBefore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outlineLvl w:val="9"/>
              <w:rPr>
                <w:rFonts w:hint="eastAsia" w:asciiTheme="minorEastAsia" w:hAnsiTheme="minorEastAsia" w:eastAsiaTheme="minorEastAsia" w:cstheme="minorEastAsia"/>
                <w:b/>
                <w:bCs/>
                <w:color w:val="252525"/>
                <w:kern w:val="2"/>
                <w:sz w:val="24"/>
                <w:szCs w:val="24"/>
                <w:vertAlign w:val="baseline"/>
                <w:lang w:val="en-US" w:eastAsia="zh-CN" w:bidi="ar-SA"/>
              </w:rPr>
            </w:pPr>
            <w:r>
              <w:rPr>
                <w:rFonts w:hint="eastAsia" w:asciiTheme="minorEastAsia" w:hAnsiTheme="minorEastAsia" w:eastAsiaTheme="minorEastAsia" w:cstheme="minorEastAsia"/>
                <w:b/>
                <w:bCs/>
                <w:color w:val="252525"/>
                <w:sz w:val="24"/>
                <w:szCs w:val="24"/>
                <w:vertAlign w:val="baseline"/>
                <w:lang w:val="en-US" w:eastAsia="zh-CN"/>
              </w:rPr>
              <w:t>主持人</w:t>
            </w:r>
          </w:p>
        </w:tc>
        <w:tc>
          <w:tcPr>
            <w:tcW w:w="1575" w:type="dxa"/>
            <w:vAlign w:val="center"/>
          </w:tcPr>
          <w:p>
            <w:pPr>
              <w:keepNext w:val="0"/>
              <w:keepLines w:val="0"/>
              <w:pageBreakBefore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outlineLvl w:val="9"/>
              <w:rPr>
                <w:rFonts w:hint="eastAsia" w:asciiTheme="minorEastAsia" w:hAnsiTheme="minorEastAsia" w:eastAsiaTheme="minorEastAsia" w:cstheme="minorEastAsia"/>
                <w:b/>
                <w:bCs/>
                <w:color w:val="252525"/>
                <w:kern w:val="2"/>
                <w:sz w:val="24"/>
                <w:szCs w:val="24"/>
                <w:lang w:val="en-US" w:eastAsia="zh-CN" w:bidi="ar-SA"/>
              </w:rPr>
            </w:pPr>
            <w:r>
              <w:rPr>
                <w:rFonts w:hint="eastAsia" w:asciiTheme="minorEastAsia" w:hAnsiTheme="minorEastAsia" w:eastAsiaTheme="minorEastAsia" w:cstheme="minorEastAsia"/>
                <w:b/>
                <w:bCs/>
                <w:color w:val="252525"/>
                <w:sz w:val="24"/>
                <w:szCs w:val="24"/>
                <w:vertAlign w:val="baseline"/>
                <w:lang w:val="en-US" w:eastAsia="zh-CN"/>
              </w:rPr>
              <w:t>执行期</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b/>
                <w:bCs/>
                <w:i w:val="0"/>
                <w:caps w:val="0"/>
                <w:color w:val="333333"/>
                <w:spacing w:val="0"/>
                <w:sz w:val="24"/>
                <w:szCs w:val="24"/>
                <w:shd w:val="clear" w:fill="FFFFFF"/>
                <w:vertAlign w:val="baseline"/>
                <w:lang w:eastAsia="zh-CN"/>
              </w:rPr>
            </w:pPr>
            <w:r>
              <w:rPr>
                <w:rFonts w:hint="eastAsia" w:asciiTheme="minorEastAsia" w:hAnsiTheme="minorEastAsia" w:eastAsiaTheme="minorEastAsia" w:cstheme="minorEastAsia"/>
                <w:b/>
                <w:bCs/>
                <w:i w:val="0"/>
                <w:caps w:val="0"/>
                <w:color w:val="333333"/>
                <w:spacing w:val="0"/>
                <w:sz w:val="24"/>
                <w:szCs w:val="24"/>
                <w:shd w:val="clear" w:fill="FFFFFF"/>
                <w:vertAlign w:val="baseline"/>
                <w:lang w:eastAsia="zh-CN"/>
              </w:rPr>
              <w:t>所在区县（市）</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b/>
                <w:bCs/>
                <w:i w:val="0"/>
                <w:caps w:val="0"/>
                <w:color w:val="333333"/>
                <w:spacing w:val="0"/>
                <w:sz w:val="24"/>
                <w:szCs w:val="24"/>
                <w:shd w:val="clear" w:fill="FFFFFF"/>
                <w:vertAlign w:val="baseline"/>
                <w:lang w:eastAsia="zh-CN"/>
              </w:rPr>
            </w:pPr>
            <w:r>
              <w:rPr>
                <w:rFonts w:hint="eastAsia" w:asciiTheme="minorEastAsia" w:hAnsiTheme="minorEastAsia" w:cstheme="minorEastAsia"/>
                <w:b/>
                <w:bCs/>
                <w:i w:val="0"/>
                <w:caps w:val="0"/>
                <w:color w:val="333333"/>
                <w:spacing w:val="0"/>
                <w:sz w:val="24"/>
                <w:szCs w:val="24"/>
                <w:shd w:val="clear" w:fill="FFFFFF"/>
                <w:vertAlign w:val="baseline"/>
                <w:lang w:eastAsia="zh-CN"/>
              </w:rPr>
              <w:t>拟支持资金（万元）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2" w:type="dxa"/>
            <w:gridSpan w:val="6"/>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bCs/>
                <w:i w:val="0"/>
                <w:caps w:val="0"/>
                <w:color w:val="333333"/>
                <w:spacing w:val="0"/>
                <w:sz w:val="24"/>
                <w:szCs w:val="24"/>
                <w:shd w:val="clear" w:fill="FFFFFF"/>
                <w:vertAlign w:val="baseline"/>
                <w:lang w:eastAsia="zh-CN"/>
              </w:rPr>
            </w:pPr>
            <w:r>
              <w:rPr>
                <w:rFonts w:hint="eastAsia" w:asciiTheme="minorEastAsia" w:hAnsiTheme="minorEastAsia" w:cstheme="minorEastAsia"/>
                <w:b/>
                <w:bCs/>
                <w:i w:val="0"/>
                <w:caps w:val="0"/>
                <w:color w:val="333333"/>
                <w:spacing w:val="0"/>
                <w:sz w:val="24"/>
                <w:szCs w:val="24"/>
                <w:shd w:val="clear" w:fill="FFFFFF"/>
                <w:vertAlign w:val="baseline"/>
                <w:lang w:eastAsia="zh-CN"/>
              </w:rPr>
              <w:t>一、社会发展领域</w:t>
            </w:r>
          </w:p>
        </w:tc>
        <w:tc>
          <w:tcPr>
            <w:tcW w:w="1278" w:type="dxa"/>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heme="minorEastAsia" w:hAnsiTheme="minorEastAsia" w:cstheme="minorEastAsia"/>
                <w:b/>
                <w:bCs/>
                <w:i w:val="0"/>
                <w:caps w:val="0"/>
                <w:color w:val="333333"/>
                <w:spacing w:val="0"/>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基于高级智能仿真模拟人的心肺复苏技术在基层的推广与应用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郑州大学第一附属医院</w:t>
            </w:r>
          </w:p>
        </w:tc>
        <w:tc>
          <w:tcPr>
            <w:tcW w:w="1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eastAsia="zh-CN"/>
              </w:rPr>
              <w:t>高艳霞</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val="en-US" w:eastAsia="zh-CN"/>
              </w:rPr>
              <w:t>2020.8.1至2022.8.1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二七区</w:t>
            </w:r>
          </w:p>
        </w:tc>
        <w:tc>
          <w:tcPr>
            <w:tcW w:w="127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近视眼激光矫正关键技术（飞秒激光小切口基质透镜取出术）的推广应用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河南省立眼科医院</w:t>
            </w:r>
          </w:p>
        </w:tc>
        <w:tc>
          <w:tcPr>
            <w:tcW w:w="1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val="en-US" w:eastAsia="zh-CN"/>
              </w:rPr>
              <w:t>庞辰久</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val="en-US" w:eastAsia="zh-CN"/>
              </w:rPr>
              <w:t>2021.1.1至2022.12.31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3</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多功能门诊咳喘中心在呼吸慢病三级联动管理模式中的作用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河南省人民医院</w:t>
            </w:r>
          </w:p>
        </w:tc>
        <w:tc>
          <w:tcPr>
            <w:tcW w:w="1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right="0" w:rightChars="0"/>
              <w:jc w:val="center"/>
              <w:textAlignment w:val="auto"/>
              <w:outlineLvl w:val="9"/>
              <w:rPr>
                <w:rFonts w:hint="eastAsia" w:ascii="宋体" w:hAnsi="宋体" w:eastAsia="宋体" w:cs="宋体"/>
                <w:b w:val="0"/>
                <w:bCs w:val="0"/>
                <w:color w:val="252525"/>
                <w:kern w:val="2"/>
                <w:sz w:val="21"/>
                <w:szCs w:val="21"/>
                <w:lang w:val="en-US" w:eastAsia="zh-CN" w:bidi="ar-SA"/>
              </w:rPr>
            </w:pPr>
            <w:r>
              <w:rPr>
                <w:rFonts w:hint="eastAsia" w:ascii="宋体" w:hAnsi="宋体" w:eastAsia="宋体" w:cs="宋体"/>
                <w:b w:val="0"/>
                <w:bCs w:val="0"/>
                <w:color w:val="252525"/>
                <w:sz w:val="21"/>
                <w:szCs w:val="21"/>
                <w:lang w:eastAsia="zh-CN"/>
              </w:rPr>
              <w:t>张晓菊</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val="en-US" w:eastAsia="zh-CN"/>
              </w:rPr>
              <w:t>2020.5.21至2022.5.21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color w:val="252525"/>
                <w:kern w:val="2"/>
                <w:sz w:val="21"/>
                <w:szCs w:val="21"/>
                <w:lang w:val="en-US" w:eastAsia="zh-CN" w:bidi="ar-SA"/>
              </w:rPr>
            </w:pPr>
            <w:r>
              <w:rPr>
                <w:rFonts w:hint="eastAsia" w:ascii="宋体" w:hAnsi="宋体" w:eastAsia="宋体" w:cs="宋体"/>
                <w:b w:val="0"/>
                <w:bCs w:val="0"/>
                <w:color w:val="252525"/>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4</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经方治疗双心疾病技术应用及推广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河南中医药大学第一附属医院</w:t>
            </w:r>
          </w:p>
        </w:tc>
        <w:tc>
          <w:tcPr>
            <w:tcW w:w="1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eastAsia="zh-CN"/>
              </w:rPr>
              <w:t>朱翠玲</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val="en-US" w:eastAsia="zh-CN"/>
              </w:rPr>
              <w:t>2021.1.1至2023.12.31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5</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儿童青少年视力自动化筛查引导下智能近视防控系统的推广和应用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河南省立眼科医院</w:t>
            </w:r>
          </w:p>
        </w:tc>
        <w:tc>
          <w:tcPr>
            <w:tcW w:w="1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eastAsia="zh-CN"/>
              </w:rPr>
              <w:t>宋宗明</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val="en-US" w:eastAsia="zh-CN"/>
              </w:rPr>
              <w:t>2020.12.1至2022.11.30</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6</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盆底康复治疗在分娩后女性盆腔生殖健康及生活质量中的应用及推广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郑州大学第二附属医院</w:t>
            </w:r>
          </w:p>
        </w:tc>
        <w:tc>
          <w:tcPr>
            <w:tcW w:w="1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eastAsia="zh-CN"/>
              </w:rPr>
              <w:t>张庆</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val="en-US" w:eastAsia="zh-CN"/>
              </w:rPr>
              <w:t>2020.7.1至2022.7.1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7</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阴道自取样HPV分型与定量检测在宫颈癌筛查中的推广应用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河南省人民医院</w:t>
            </w:r>
          </w:p>
        </w:tc>
        <w:tc>
          <w:tcPr>
            <w:tcW w:w="1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eastAsia="zh-CN"/>
              </w:rPr>
              <w:t>王悦</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val="en-US" w:eastAsia="zh-CN"/>
              </w:rPr>
              <w:t>2020.6.1至2022.6.1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8</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斑块切除系统和药涂球囊治疗下肢动脉硬化闭塞症及支架内再狭窄的推广应用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郑州大学第五附属医院</w:t>
            </w:r>
          </w:p>
        </w:tc>
        <w:tc>
          <w:tcPr>
            <w:tcW w:w="1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eastAsia="zh-CN"/>
              </w:rPr>
              <w:t>王兵</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val="en-US" w:eastAsia="zh-CN"/>
              </w:rPr>
              <w:t>2020.8.1至2022.8.1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二七区</w:t>
            </w:r>
          </w:p>
        </w:tc>
        <w:tc>
          <w:tcPr>
            <w:tcW w:w="127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9</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三维重建及胸腔镜肺段切除技术在基层的推广应用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郑州大学第一附属医院</w:t>
            </w:r>
          </w:p>
        </w:tc>
        <w:tc>
          <w:tcPr>
            <w:tcW w:w="1200"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eastAsia="zh-CN"/>
              </w:rPr>
              <w:t>赵松</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val="en-US" w:eastAsia="zh-CN"/>
              </w:rPr>
              <w:t>2021.1.1至2022.12.31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二七区</w:t>
            </w:r>
          </w:p>
        </w:tc>
        <w:tc>
          <w:tcPr>
            <w:tcW w:w="1278"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val="0"/>
                <w:bCs w:val="0"/>
                <w:snapToGrid/>
                <w:color w:val="252525"/>
                <w:kern w:val="2"/>
                <w:sz w:val="21"/>
                <w:szCs w:val="21"/>
                <w:lang w:val="en-US" w:eastAsia="zh-CN" w:bidi="ar-SA"/>
              </w:rPr>
            </w:pPr>
            <w:r>
              <w:rPr>
                <w:rFonts w:hint="eastAsia" w:ascii="宋体" w:hAnsi="宋体" w:eastAsia="宋体" w:cs="宋体"/>
                <w:b w:val="0"/>
                <w:bCs w:val="0"/>
                <w:snapToGrid/>
                <w:color w:val="252525"/>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10</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郑州区域肝病大数据平台的建立及患者全程管理体系的示范与推广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郑州市第三人民医院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李安州</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2020.7.1至2022.7.1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管城区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11</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脑瘫康复系列技术及社区-家庭康复模式在郑州市县乡医院示范推广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郑州儿童医院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马彩云</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2020.10.1至2022.10.1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12</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医院—社区—家庭三级老年照护体系构建与应用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郑州市第九人民医院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宁静</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2020.9.1至2022.9.1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13</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一站式诊疗服务-标准化代谢性疾病管理技术体系在医联体慢病管理中的推广和应用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郑州市中心医院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康志强</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2020.7.1至2022.7.31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中原区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14</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紧密型医共体框架下物联网血压管理在基层医疗机构的推广应用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巩义市人民医院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郜炎辉</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2020.7.20至2022.7.19</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巩义市</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15</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重症手足口病的早识别及救治技术在基层医疗机构中的推广应用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郑州儿童医院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宋春兰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2020.11.1至2022.11.30</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16</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上肢牵引装置结合无痛整复治疗桡骨远端骨折</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郑州市骨科医院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黄万新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2020.9.1至2022.9.1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二七区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17</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缺血性视神经病变的高压氧治疗技术应用与推广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郑州市第二人民医院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孙世龙</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2020.6.1至2022.12.31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二七区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18</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糖尿病肾病全过程管理模式在医联体成员基层单位的推广与应用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郑州人民医院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曲青山</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2021.1.1至2022.12.31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19</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基于ＣＣＭ模式的郑州市脑卒中慢病防治一体化模式推广应用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郑州市第一人民医院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曹心慧</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2020.9.1至2022.8.31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管城区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20</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双心模式在冠心病患者诊疗中的推广应用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中牟县人民医院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衡奇霞</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2020.7.1至2022.7.1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中牟县</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21</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结核分枝杆菌核酸检测对肺结核精准诊断的临床应用和推广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郑州市第六人民医院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陈裕</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2020.7.1至2022.6.30</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二七区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22</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郑州重点行业</w:t>
            </w:r>
            <w:r>
              <w:rPr>
                <w:rStyle w:val="8"/>
                <w:rFonts w:hint="eastAsia" w:ascii="宋体" w:hAnsi="宋体" w:eastAsia="宋体" w:cs="宋体"/>
                <w:color w:val="252525"/>
                <w:sz w:val="21"/>
                <w:szCs w:val="21"/>
                <w:lang w:val="en-US" w:eastAsia="zh-CN" w:bidi="ar"/>
              </w:rPr>
              <w:t>VOCs</w:t>
            </w:r>
            <w:r>
              <w:rPr>
                <w:rStyle w:val="9"/>
                <w:rFonts w:hint="eastAsia" w:ascii="宋体" w:hAnsi="宋体" w:eastAsia="宋体" w:cs="宋体"/>
                <w:color w:val="252525"/>
                <w:sz w:val="21"/>
                <w:szCs w:val="21"/>
                <w:lang w:val="en-US" w:eastAsia="zh-CN" w:bidi="ar"/>
              </w:rPr>
              <w:t>排放源成分谱数据库在污染源识别技术中的应用推广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郑州德析检测技术有限公司</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贺肖冰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2020.3.1至2022.3.1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高新区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23</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NB-IoT智能切断膜式燃气表的应用及推广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郑州创源智能设备有限公司</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赵国伟</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2020.4.1至2021.12.31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高新区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24</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银珐琅工艺虚拟仿真教学推广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郑州工程技术学院</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周春辉</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2020.7.1至2022.6.30</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惠济区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25</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智能安全用电技术在高危场所的推广应用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河南力安测控科技有限公司</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谢永涛</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2020.1.1至2021.6.30</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高新区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26</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基于可视化物联网的产品质量安全追溯推广应用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河南兵峰电子科技有限公司</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刘立峰</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2020.9.1至2022.8.31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金水区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27</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河流智慧管控平台建设和物化处理与生物强化耦合技术的推广与应用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郑州益源天泽环境科技有限公司</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赵亮</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2020.6.15至2022.6.15</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郑东新区</w:t>
            </w:r>
          </w:p>
        </w:tc>
        <w:tc>
          <w:tcPr>
            <w:tcW w:w="1278" w:type="dxa"/>
            <w:vAlign w:val="center"/>
          </w:tcPr>
          <w:p>
            <w:pPr>
              <w:keepNext w:val="0"/>
              <w:keepLines w:val="0"/>
              <w:widowControl/>
              <w:suppressLineNumbers w:val="0"/>
              <w:jc w:val="center"/>
              <w:textAlignment w:val="center"/>
              <w:rPr>
                <w:rFonts w:hint="eastAsia" w:ascii="宋体" w:hAnsi="宋体" w:eastAsia="宋体" w:cs="宋体"/>
                <w:b w:val="0"/>
                <w:bCs w:val="0"/>
                <w:i w:val="0"/>
                <w:color w:val="252525"/>
                <w:kern w:val="2"/>
                <w:sz w:val="21"/>
                <w:szCs w:val="21"/>
                <w:u w:val="none"/>
                <w:lang w:val="en-US" w:eastAsia="zh-CN" w:bidi="ar-SA"/>
              </w:rPr>
            </w:pPr>
            <w:r>
              <w:rPr>
                <w:rFonts w:hint="eastAsia" w:ascii="宋体" w:hAnsi="宋体" w:eastAsia="宋体" w:cs="宋体"/>
                <w:b w:val="0"/>
                <w:bCs w:val="0"/>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28</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生物法恶臭异味废气净化技术及应用示范</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河南郑大嘉源环保技术有限公司</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李顺义</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2020.7.1至2021.12.31</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高新区</w:t>
            </w:r>
          </w:p>
        </w:tc>
        <w:tc>
          <w:tcPr>
            <w:tcW w:w="1278" w:type="dxa"/>
            <w:vAlign w:val="center"/>
          </w:tcPr>
          <w:p>
            <w:pPr>
              <w:keepNext w:val="0"/>
              <w:keepLines w:val="0"/>
              <w:widowControl/>
              <w:suppressLineNumbers w:val="0"/>
              <w:jc w:val="center"/>
              <w:textAlignment w:val="center"/>
              <w:rPr>
                <w:rFonts w:hint="eastAsia" w:ascii="宋体" w:hAnsi="宋体" w:eastAsia="宋体" w:cs="宋体"/>
                <w:b w:val="0"/>
                <w:bCs w:val="0"/>
                <w:i w:val="0"/>
                <w:color w:val="252525"/>
                <w:kern w:val="2"/>
                <w:sz w:val="21"/>
                <w:szCs w:val="21"/>
                <w:u w:val="none"/>
                <w:lang w:val="en-US" w:eastAsia="zh-CN" w:bidi="ar-SA"/>
              </w:rPr>
            </w:pPr>
            <w:r>
              <w:rPr>
                <w:rFonts w:hint="eastAsia" w:ascii="宋体" w:hAnsi="宋体" w:eastAsia="宋体" w:cs="宋体"/>
                <w:b w:val="0"/>
                <w:bCs w:val="0"/>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29</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郑州市耐热月季品种及其栽培技术示范推广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0"/>
                <w:sz w:val="21"/>
                <w:szCs w:val="21"/>
                <w:u w:val="none"/>
                <w:lang w:val="en-US" w:eastAsia="zh-CN" w:bidi="ar"/>
              </w:rPr>
              <w:t>郑州市城市园林科学研究所</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孙桂琴</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252525"/>
                <w:kern w:val="2"/>
                <w:sz w:val="21"/>
                <w:szCs w:val="21"/>
                <w:u w:val="none"/>
                <w:lang w:val="en-US" w:eastAsia="zh-CN" w:bidi="ar-SA"/>
              </w:rPr>
            </w:pPr>
            <w:r>
              <w:rPr>
                <w:rFonts w:hint="eastAsia" w:ascii="宋体" w:hAnsi="宋体" w:eastAsia="宋体" w:cs="宋体"/>
                <w:i w:val="0"/>
                <w:color w:val="252525"/>
                <w:kern w:val="2"/>
                <w:sz w:val="21"/>
                <w:szCs w:val="21"/>
                <w:u w:val="none"/>
                <w:lang w:val="en-US" w:eastAsia="zh-CN" w:bidi="ar-SA"/>
              </w:rPr>
              <w:t>2020.6.10至2022.6.10</w:t>
            </w:r>
          </w:p>
        </w:tc>
        <w:tc>
          <w:tcPr>
            <w:tcW w:w="1032"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color w:val="252525"/>
                <w:kern w:val="2"/>
                <w:sz w:val="21"/>
                <w:szCs w:val="21"/>
                <w:lang w:val="en-US" w:eastAsia="zh-CN" w:bidi="ar-SA"/>
              </w:rPr>
            </w:pPr>
            <w:r>
              <w:rPr>
                <w:rFonts w:hint="eastAsia" w:ascii="宋体" w:hAnsi="宋体" w:eastAsia="宋体" w:cs="宋体"/>
                <w:color w:val="252525"/>
                <w:sz w:val="21"/>
                <w:szCs w:val="21"/>
                <w:lang w:eastAsia="zh-CN"/>
              </w:rPr>
              <w:t>中原区</w:t>
            </w:r>
          </w:p>
        </w:tc>
        <w:tc>
          <w:tcPr>
            <w:tcW w:w="1278" w:type="dxa"/>
            <w:vAlign w:val="center"/>
          </w:tcPr>
          <w:p>
            <w:pPr>
              <w:keepNext w:val="0"/>
              <w:keepLines w:val="0"/>
              <w:widowControl/>
              <w:suppressLineNumbers w:val="0"/>
              <w:jc w:val="center"/>
              <w:textAlignment w:val="center"/>
              <w:rPr>
                <w:rFonts w:hint="eastAsia" w:ascii="宋体" w:hAnsi="宋体" w:eastAsia="宋体" w:cs="宋体"/>
                <w:b w:val="0"/>
                <w:bCs w:val="0"/>
                <w:i w:val="0"/>
                <w:color w:val="252525"/>
                <w:kern w:val="2"/>
                <w:sz w:val="21"/>
                <w:szCs w:val="21"/>
                <w:u w:val="none"/>
                <w:lang w:val="en-US" w:eastAsia="zh-CN" w:bidi="ar-SA"/>
              </w:rPr>
            </w:pPr>
            <w:r>
              <w:rPr>
                <w:rFonts w:hint="eastAsia" w:ascii="宋体" w:hAnsi="宋体" w:eastAsia="宋体" w:cs="宋体"/>
                <w:b w:val="0"/>
                <w:bCs w:val="0"/>
                <w:i w:val="0"/>
                <w:color w:val="252525"/>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2" w:type="dxa"/>
            <w:gridSpan w:val="6"/>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Theme="minorEastAsia" w:hAnsiTheme="minorEastAsia" w:cstheme="minorEastAsia"/>
                <w:b/>
                <w:bCs/>
                <w:i w:val="0"/>
                <w:caps w:val="0"/>
                <w:color w:val="333333"/>
                <w:spacing w:val="0"/>
                <w:sz w:val="24"/>
                <w:szCs w:val="24"/>
                <w:shd w:val="clear" w:fill="FFFFFF"/>
                <w:vertAlign w:val="baseline"/>
                <w:lang w:eastAsia="zh-CN"/>
              </w:rPr>
              <w:t>二、农业领域</w:t>
            </w:r>
          </w:p>
        </w:tc>
        <w:tc>
          <w:tcPr>
            <w:tcW w:w="1278"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cstheme="minorEastAsia"/>
                <w:b/>
                <w:bCs/>
                <w:i w:val="0"/>
                <w:caps w:val="0"/>
                <w:color w:val="333333"/>
                <w:spacing w:val="0"/>
                <w:sz w:val="24"/>
                <w:szCs w:val="24"/>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基于玉米新品种的化肥减施增效栽培技术集成与示范</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河南省农业科学院粮食作物研究所</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乔江方</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2020.06.01—</w:t>
            </w:r>
            <w:r>
              <w:rPr>
                <w:rStyle w:val="10"/>
                <w:rFonts w:hint="eastAsia" w:ascii="宋体" w:hAnsi="宋体" w:eastAsia="宋体" w:cs="宋体"/>
                <w:sz w:val="21"/>
                <w:szCs w:val="21"/>
                <w:lang w:val="en-US" w:eastAsia="zh-CN" w:bidi="ar"/>
              </w:rPr>
              <w:t>2021.12.31</w:t>
            </w:r>
          </w:p>
        </w:tc>
        <w:tc>
          <w:tcPr>
            <w:tcW w:w="10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金水区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杏李良种‘味帝’高效栽培技术示范与推广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国家林业和草原局泡桐研究开发中心</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杨绍彬</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2020.05.10—</w:t>
            </w:r>
            <w:r>
              <w:rPr>
                <w:rStyle w:val="10"/>
                <w:rFonts w:hint="eastAsia" w:ascii="宋体" w:hAnsi="宋体" w:eastAsia="宋体" w:cs="宋体"/>
                <w:sz w:val="21"/>
                <w:szCs w:val="21"/>
                <w:lang w:val="en-US" w:eastAsia="zh-CN" w:bidi="ar"/>
              </w:rPr>
              <w:t>2022.05.09</w:t>
            </w:r>
          </w:p>
        </w:tc>
        <w:tc>
          <w:tcPr>
            <w:tcW w:w="10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金水区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农产品辐照加工关键技术惠民应用示范与推广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河南省科学院同位素研究所有限责任公司</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陈云堂</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2020.06.01—</w:t>
            </w:r>
            <w:r>
              <w:rPr>
                <w:rStyle w:val="10"/>
                <w:rFonts w:hint="eastAsia" w:ascii="宋体" w:hAnsi="宋体" w:eastAsia="宋体" w:cs="宋体"/>
                <w:sz w:val="21"/>
                <w:szCs w:val="21"/>
                <w:lang w:val="en-US" w:eastAsia="zh-CN" w:bidi="ar"/>
              </w:rPr>
              <w:t>2022.05.31</w:t>
            </w:r>
          </w:p>
        </w:tc>
        <w:tc>
          <w:tcPr>
            <w:tcW w:w="10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二七区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遥感技术在精准农业中的应用与推广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中国电子科技集团公司第二十七研究所</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王玉玺</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2020.08.01—</w:t>
            </w:r>
            <w:r>
              <w:rPr>
                <w:rStyle w:val="10"/>
                <w:rFonts w:hint="eastAsia" w:ascii="宋体" w:hAnsi="宋体" w:eastAsia="宋体" w:cs="宋体"/>
                <w:sz w:val="21"/>
                <w:szCs w:val="21"/>
                <w:lang w:val="en-US" w:eastAsia="zh-CN" w:bidi="ar"/>
              </w:rPr>
              <w:t>2021.07.31</w:t>
            </w:r>
          </w:p>
        </w:tc>
        <w:tc>
          <w:tcPr>
            <w:tcW w:w="10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郑东新区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设施彩色果肉小果型西瓜新品种的选育及应用</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中国农业科学院郑州果树研究所</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徐志红</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2020.01.01—</w:t>
            </w:r>
            <w:r>
              <w:rPr>
                <w:rStyle w:val="10"/>
                <w:rFonts w:hint="eastAsia" w:ascii="宋体" w:hAnsi="宋体" w:eastAsia="宋体" w:cs="宋体"/>
                <w:sz w:val="21"/>
                <w:szCs w:val="21"/>
                <w:lang w:val="en-US" w:eastAsia="zh-CN" w:bidi="ar"/>
              </w:rPr>
              <w:t>2021.12.31</w:t>
            </w:r>
          </w:p>
        </w:tc>
        <w:tc>
          <w:tcPr>
            <w:tcW w:w="10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管城区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特色果桑新品种示范与推广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中国农业科学院郑州果树研究所</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郭俊英</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2020.01.01—2021.12.31</w:t>
            </w:r>
          </w:p>
        </w:tc>
        <w:tc>
          <w:tcPr>
            <w:tcW w:w="10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管城区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高品质口感型蔬菜新品种展示、示范与推广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河南欧兰德种业有限公司</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李波</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2020.01.01—2021.05.31</w:t>
            </w:r>
          </w:p>
        </w:tc>
        <w:tc>
          <w:tcPr>
            <w:tcW w:w="10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金水区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236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农作物新品种示范推广</w:t>
            </w:r>
          </w:p>
        </w:tc>
        <w:tc>
          <w:tcPr>
            <w:tcW w:w="224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郑州市农林科学研究所</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王金召</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2020.07.01—</w:t>
            </w:r>
            <w:r>
              <w:rPr>
                <w:rStyle w:val="10"/>
                <w:rFonts w:hint="eastAsia" w:ascii="宋体" w:hAnsi="宋体" w:eastAsia="宋体" w:cs="宋体"/>
                <w:sz w:val="21"/>
                <w:szCs w:val="21"/>
                <w:lang w:val="en-US" w:eastAsia="zh-CN" w:bidi="ar"/>
              </w:rPr>
              <w:t>2021.12.31</w:t>
            </w:r>
          </w:p>
        </w:tc>
        <w:tc>
          <w:tcPr>
            <w:tcW w:w="10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中原区</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备注：</w:t>
      </w:r>
      <w:r>
        <w:rPr>
          <w:rFonts w:ascii="仿宋" w:hAnsi="仿宋" w:eastAsia="仿宋" w:cs="仿宋"/>
          <w:i w:val="0"/>
          <w:caps w:val="0"/>
          <w:color w:val="000000"/>
          <w:spacing w:val="0"/>
          <w:sz w:val="32"/>
          <w:szCs w:val="32"/>
          <w:shd w:val="clear" w:fill="FFFFFF"/>
        </w:rPr>
        <w:t>财政补助实际拨付额根据当年度市财政科技专项预算实际情况按统一比例核拨。</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C6745"/>
    <w:rsid w:val="01C813DD"/>
    <w:rsid w:val="0B1208E7"/>
    <w:rsid w:val="0F881D59"/>
    <w:rsid w:val="0FD87765"/>
    <w:rsid w:val="15374071"/>
    <w:rsid w:val="1A1726C3"/>
    <w:rsid w:val="1D8F7B79"/>
    <w:rsid w:val="365C6745"/>
    <w:rsid w:val="3F881CBD"/>
    <w:rsid w:val="3F965254"/>
    <w:rsid w:val="4F064212"/>
    <w:rsid w:val="57AE5F9A"/>
    <w:rsid w:val="6FC7719C"/>
    <w:rsid w:val="6FF121AA"/>
    <w:rsid w:val="701540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default" w:ascii="Arial" w:hAnsi="Arial" w:cs="Arial"/>
      <w:color w:val="000000"/>
      <w:sz w:val="20"/>
      <w:szCs w:val="20"/>
      <w:u w:val="none"/>
    </w:rPr>
  </w:style>
  <w:style w:type="character" w:customStyle="1" w:styleId="9">
    <w:name w:val="font01"/>
    <w:basedOn w:val="7"/>
    <w:qFormat/>
    <w:uiPriority w:val="0"/>
    <w:rPr>
      <w:rFonts w:hint="eastAsia" w:ascii="宋体" w:hAnsi="宋体" w:eastAsia="宋体" w:cs="宋体"/>
      <w:color w:val="000000"/>
      <w:sz w:val="20"/>
      <w:szCs w:val="20"/>
      <w:u w:val="none"/>
    </w:rPr>
  </w:style>
  <w:style w:type="character" w:customStyle="1" w:styleId="10">
    <w:name w:val="font5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2020-09-12T02:53:00Z</dcterms:created>
  <dc:creator>诗画</dc:creator>
  <cp:lastModifiedBy>周江殿</cp:lastModifiedBy>
  <dcterms:modified xsi:type="dcterms:W3CDTF">2020-09-14T01:02:55Z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