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4"/>
        <w:rPr>
          <w:rFonts w:ascii="Times New Roman"/>
          <w:sz w:val="25"/>
        </w:rPr>
      </w:pPr>
    </w:p>
    <w:p>
      <w:pPr>
        <w:pStyle w:val="3"/>
        <w:ind w:left="220"/>
        <w:rPr>
          <w:rFonts w:ascii="Times New Roman"/>
          <w:sz w:val="20"/>
        </w:rPr>
      </w:pPr>
    </w:p>
    <w:p>
      <w:pPr>
        <w:tabs>
          <w:tab w:val="left" w:pos="890"/>
        </w:tabs>
        <w:spacing w:before="0"/>
        <w:ind w:left="2" w:right="0" w:firstLine="0"/>
        <w:jc w:val="center"/>
        <w:rPr>
          <w:rFonts w:hint="eastAsia" w:ascii="黑体" w:eastAsia="黑体"/>
          <w:b/>
          <w:sz w:val="44"/>
        </w:rPr>
      </w:pPr>
      <w:r>
        <w:rPr>
          <w:rFonts w:hint="eastAsia" w:ascii="黑体" w:eastAsia="黑体"/>
          <w:b/>
          <w:sz w:val="44"/>
        </w:rPr>
        <w:t>目</w:t>
      </w:r>
      <w:r>
        <w:rPr>
          <w:rFonts w:hint="eastAsia" w:ascii="黑体" w:eastAsia="黑体"/>
          <w:b/>
          <w:sz w:val="44"/>
        </w:rPr>
        <w:tab/>
      </w:r>
      <w:r>
        <w:rPr>
          <w:rFonts w:hint="eastAsia" w:ascii="黑体" w:eastAsia="黑体"/>
          <w:b/>
          <w:sz w:val="44"/>
        </w:rPr>
        <w:t>录</w:t>
      </w:r>
    </w:p>
    <w:sdt>
      <w:sdtPr>
        <w:rPr>
          <w:rFonts w:ascii="宋体" w:hAnsi="宋体" w:eastAsia="宋体" w:cs="仿宋"/>
          <w:sz w:val="21"/>
          <w:szCs w:val="22"/>
          <w:lang w:val="zh-CN" w:eastAsia="zh-CN" w:bidi="zh-CN"/>
        </w:rPr>
        <w:id w:val="147453052"/>
        <w15:color w:val="DBDBDB"/>
        <w:docPartObj>
          <w:docPartGallery w:val="Table of Contents"/>
          <w:docPartUnique/>
        </w:docPartObj>
      </w:sdtPr>
      <w:sdtEndPr>
        <w:rPr>
          <w:rFonts w:hint="eastAsia" w:ascii="黑体" w:hAnsi="黑体" w:eastAsia="黑体" w:cs="黑体"/>
          <w:sz w:val="32"/>
          <w:szCs w:val="32"/>
          <w:lang w:val="zh-CN" w:eastAsia="zh-CN" w:bidi="zh-CN"/>
        </w:rPr>
      </w:sdtEndPr>
      <w:sdtContent>
        <w:p>
          <w:pPr>
            <w:spacing w:before="0" w:beforeLines="0" w:after="0" w:afterLines="0" w:line="240" w:lineRule="auto"/>
            <w:ind w:left="0" w:leftChars="0" w:right="0" w:rightChars="0" w:firstLine="0" w:firstLineChars="0"/>
            <w:jc w:val="center"/>
          </w:pPr>
        </w:p>
        <w:p>
          <w:pPr>
            <w:pStyle w:val="5"/>
            <w:tabs>
              <w:tab w:val="right" w:leader="dot" w:pos="9090"/>
            </w:tabs>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TOC \o "1-3" \h \u </w:instrText>
          </w:r>
          <w:r>
            <w:rPr>
              <w:rFonts w:hint="eastAsia" w:ascii="黑体" w:hAnsi="黑体" w:eastAsia="黑体" w:cs="黑体"/>
              <w:sz w:val="32"/>
              <w:szCs w:val="32"/>
            </w:rPr>
            <w:fldChar w:fldCharType="separate"/>
          </w:r>
          <w:r>
            <w:rPr>
              <w:rFonts w:hint="eastAsia" w:ascii="黑体" w:hAnsi="黑体" w:eastAsia="黑体" w:cs="黑体"/>
              <w:szCs w:val="32"/>
            </w:rPr>
            <w:fldChar w:fldCharType="begin"/>
          </w:r>
          <w:r>
            <w:rPr>
              <w:rFonts w:hint="eastAsia" w:ascii="黑体" w:hAnsi="黑体" w:eastAsia="黑体" w:cs="黑体"/>
              <w:szCs w:val="32"/>
            </w:rPr>
            <w:instrText xml:space="preserve"> HYPERLINK \l _Toc30893 </w:instrText>
          </w:r>
          <w:r>
            <w:rPr>
              <w:rFonts w:hint="eastAsia" w:ascii="黑体" w:hAnsi="黑体" w:eastAsia="黑体" w:cs="黑体"/>
              <w:szCs w:val="32"/>
            </w:rPr>
            <w:fldChar w:fldCharType="separate"/>
          </w:r>
          <w:r>
            <w:t>选择性触发肿瘤细胞凋亡的蛋白质</w:t>
          </w:r>
          <w:r>
            <w:tab/>
          </w:r>
          <w:r>
            <w:fldChar w:fldCharType="begin"/>
          </w:r>
          <w:r>
            <w:instrText xml:space="preserve"> PAGEREF _Toc30893 </w:instrText>
          </w:r>
          <w:r>
            <w:fldChar w:fldCharType="separate"/>
          </w:r>
          <w:r>
            <w:t>1</w:t>
          </w:r>
          <w:r>
            <w:fldChar w:fldCharType="end"/>
          </w:r>
          <w:r>
            <w:rPr>
              <w:rFonts w:hint="eastAsia" w:ascii="黑体" w:hAnsi="黑体" w:eastAsia="黑体" w:cs="黑体"/>
              <w:szCs w:val="32"/>
            </w:rPr>
            <w:fldChar w:fldCharType="end"/>
          </w:r>
        </w:p>
        <w:p>
          <w:pPr>
            <w:pStyle w:val="5"/>
            <w:tabs>
              <w:tab w:val="right" w:leader="dot" w:pos="9090"/>
            </w:tabs>
          </w:pPr>
          <w:r>
            <w:rPr>
              <w:rFonts w:hint="eastAsia" w:ascii="黑体" w:hAnsi="黑体" w:eastAsia="黑体" w:cs="黑体"/>
              <w:szCs w:val="32"/>
            </w:rPr>
            <w:fldChar w:fldCharType="begin"/>
          </w:r>
          <w:r>
            <w:rPr>
              <w:rFonts w:hint="eastAsia" w:ascii="黑体" w:hAnsi="黑体" w:eastAsia="黑体" w:cs="黑体"/>
              <w:szCs w:val="32"/>
            </w:rPr>
            <w:instrText xml:space="preserve"> HYPERLINK \l _Toc8401 </w:instrText>
          </w:r>
          <w:r>
            <w:rPr>
              <w:rFonts w:hint="eastAsia" w:ascii="黑体" w:hAnsi="黑体" w:eastAsia="黑体" w:cs="黑体"/>
              <w:szCs w:val="32"/>
            </w:rPr>
            <w:fldChar w:fldCharType="separate"/>
          </w:r>
          <w:r>
            <w:t>超声波纺织品浸渍技术</w:t>
          </w:r>
          <w:r>
            <w:tab/>
          </w:r>
          <w:r>
            <w:fldChar w:fldCharType="begin"/>
          </w:r>
          <w:r>
            <w:instrText xml:space="preserve"> PAGEREF _Toc8401 </w:instrText>
          </w:r>
          <w:r>
            <w:fldChar w:fldCharType="separate"/>
          </w:r>
          <w:r>
            <w:t>2</w:t>
          </w:r>
          <w:r>
            <w:fldChar w:fldCharType="end"/>
          </w:r>
          <w:r>
            <w:rPr>
              <w:rFonts w:hint="eastAsia" w:ascii="黑体" w:hAnsi="黑体" w:eastAsia="黑体" w:cs="黑体"/>
              <w:szCs w:val="32"/>
            </w:rPr>
            <w:fldChar w:fldCharType="end"/>
          </w:r>
        </w:p>
        <w:p>
          <w:pPr>
            <w:pStyle w:val="5"/>
            <w:tabs>
              <w:tab w:val="right" w:leader="dot" w:pos="9090"/>
            </w:tabs>
          </w:pPr>
          <w:r>
            <w:rPr>
              <w:rFonts w:hint="eastAsia" w:ascii="黑体" w:hAnsi="黑体" w:eastAsia="黑体" w:cs="黑体"/>
              <w:szCs w:val="32"/>
            </w:rPr>
            <w:fldChar w:fldCharType="begin"/>
          </w:r>
          <w:r>
            <w:rPr>
              <w:rFonts w:hint="eastAsia" w:ascii="黑体" w:hAnsi="黑体" w:eastAsia="黑体" w:cs="黑体"/>
              <w:szCs w:val="32"/>
            </w:rPr>
            <w:instrText xml:space="preserve"> HYPERLINK \l _Toc26947 </w:instrText>
          </w:r>
          <w:r>
            <w:rPr>
              <w:rFonts w:hint="eastAsia" w:ascii="黑体" w:hAnsi="黑体" w:eastAsia="黑体" w:cs="黑体"/>
              <w:szCs w:val="32"/>
            </w:rPr>
            <w:fldChar w:fldCharType="separate"/>
          </w:r>
          <w:r>
            <w:t>皮内供药微针</w:t>
          </w:r>
          <w:r>
            <w:tab/>
          </w:r>
          <w:r>
            <w:fldChar w:fldCharType="begin"/>
          </w:r>
          <w:r>
            <w:instrText xml:space="preserve"> PAGEREF _Toc26947 </w:instrText>
          </w:r>
          <w:r>
            <w:fldChar w:fldCharType="separate"/>
          </w:r>
          <w:r>
            <w:t>2</w:t>
          </w:r>
          <w:r>
            <w:fldChar w:fldCharType="end"/>
          </w:r>
          <w:r>
            <w:rPr>
              <w:rFonts w:hint="eastAsia" w:ascii="黑体" w:hAnsi="黑体" w:eastAsia="黑体" w:cs="黑体"/>
              <w:szCs w:val="32"/>
            </w:rPr>
            <w:fldChar w:fldCharType="end"/>
          </w:r>
        </w:p>
        <w:p>
          <w:pPr>
            <w:pStyle w:val="5"/>
            <w:tabs>
              <w:tab w:val="right" w:leader="dot" w:pos="9090"/>
            </w:tabs>
          </w:pPr>
          <w:r>
            <w:rPr>
              <w:rFonts w:hint="eastAsia" w:ascii="黑体" w:hAnsi="黑体" w:eastAsia="黑体" w:cs="黑体"/>
              <w:szCs w:val="32"/>
            </w:rPr>
            <w:fldChar w:fldCharType="begin"/>
          </w:r>
          <w:r>
            <w:rPr>
              <w:rFonts w:hint="eastAsia" w:ascii="黑体" w:hAnsi="黑体" w:eastAsia="黑体" w:cs="黑体"/>
              <w:szCs w:val="32"/>
            </w:rPr>
            <w:instrText xml:space="preserve"> HYPERLINK \l _Toc17088 </w:instrText>
          </w:r>
          <w:r>
            <w:rPr>
              <w:rFonts w:hint="eastAsia" w:ascii="黑体" w:hAnsi="黑体" w:eastAsia="黑体" w:cs="黑体"/>
              <w:szCs w:val="32"/>
            </w:rPr>
            <w:fldChar w:fldCharType="separate"/>
          </w:r>
          <w:r>
            <w:t>提高人体免疫力的姜黄素产品</w:t>
          </w:r>
          <w:r>
            <w:tab/>
          </w:r>
          <w:r>
            <w:fldChar w:fldCharType="begin"/>
          </w:r>
          <w:r>
            <w:instrText xml:space="preserve"> PAGEREF _Toc17088 </w:instrText>
          </w:r>
          <w:r>
            <w:fldChar w:fldCharType="separate"/>
          </w:r>
          <w:r>
            <w:t>3</w:t>
          </w:r>
          <w:r>
            <w:fldChar w:fldCharType="end"/>
          </w:r>
          <w:r>
            <w:rPr>
              <w:rFonts w:hint="eastAsia" w:ascii="黑体" w:hAnsi="黑体" w:eastAsia="黑体" w:cs="黑体"/>
              <w:szCs w:val="32"/>
            </w:rPr>
            <w:fldChar w:fldCharType="end"/>
          </w:r>
        </w:p>
        <w:p>
          <w:pPr>
            <w:pStyle w:val="5"/>
            <w:tabs>
              <w:tab w:val="right" w:leader="dot" w:pos="9090"/>
            </w:tabs>
          </w:pPr>
          <w:r>
            <w:rPr>
              <w:rFonts w:hint="eastAsia" w:ascii="黑体" w:hAnsi="黑体" w:eastAsia="黑体" w:cs="黑体"/>
              <w:szCs w:val="32"/>
            </w:rPr>
            <w:fldChar w:fldCharType="begin"/>
          </w:r>
          <w:r>
            <w:rPr>
              <w:rFonts w:hint="eastAsia" w:ascii="黑体" w:hAnsi="黑体" w:eastAsia="黑体" w:cs="黑体"/>
              <w:szCs w:val="32"/>
            </w:rPr>
            <w:instrText xml:space="preserve"> HYPERLINK \l _Toc32125 </w:instrText>
          </w:r>
          <w:r>
            <w:rPr>
              <w:rFonts w:hint="eastAsia" w:ascii="黑体" w:hAnsi="黑体" w:eastAsia="黑体" w:cs="黑体"/>
              <w:szCs w:val="32"/>
            </w:rPr>
            <w:fldChar w:fldCharType="separate"/>
          </w:r>
          <w:r>
            <w:t>可植入芯片式疫苗技术</w:t>
          </w:r>
          <w:r>
            <w:tab/>
          </w:r>
          <w:r>
            <w:fldChar w:fldCharType="begin"/>
          </w:r>
          <w:r>
            <w:instrText xml:space="preserve"> PAGEREF _Toc32125 </w:instrText>
          </w:r>
          <w:r>
            <w:fldChar w:fldCharType="separate"/>
          </w:r>
          <w:r>
            <w:t>3</w:t>
          </w:r>
          <w:r>
            <w:fldChar w:fldCharType="end"/>
          </w:r>
          <w:r>
            <w:rPr>
              <w:rFonts w:hint="eastAsia" w:ascii="黑体" w:hAnsi="黑体" w:eastAsia="黑体" w:cs="黑体"/>
              <w:szCs w:val="32"/>
            </w:rPr>
            <w:fldChar w:fldCharType="end"/>
          </w:r>
        </w:p>
        <w:p>
          <w:pPr>
            <w:pStyle w:val="5"/>
            <w:tabs>
              <w:tab w:val="right" w:leader="dot" w:pos="9090"/>
            </w:tabs>
          </w:pPr>
          <w:r>
            <w:rPr>
              <w:rFonts w:hint="eastAsia" w:ascii="黑体" w:hAnsi="黑体" w:eastAsia="黑体" w:cs="黑体"/>
              <w:szCs w:val="32"/>
            </w:rPr>
            <w:fldChar w:fldCharType="begin"/>
          </w:r>
          <w:r>
            <w:rPr>
              <w:rFonts w:hint="eastAsia" w:ascii="黑体" w:hAnsi="黑体" w:eastAsia="黑体" w:cs="黑体"/>
              <w:szCs w:val="32"/>
            </w:rPr>
            <w:instrText xml:space="preserve"> HYPERLINK \l _Toc6300 </w:instrText>
          </w:r>
          <w:r>
            <w:rPr>
              <w:rFonts w:hint="eastAsia" w:ascii="黑体" w:hAnsi="黑体" w:eastAsia="黑体" w:cs="黑体"/>
              <w:szCs w:val="32"/>
            </w:rPr>
            <w:fldChar w:fldCharType="separate"/>
          </w:r>
          <w:r>
            <w:t>车辆动态称重项目</w:t>
          </w:r>
          <w:r>
            <w:tab/>
          </w:r>
          <w:r>
            <w:fldChar w:fldCharType="begin"/>
          </w:r>
          <w:r>
            <w:instrText xml:space="preserve"> PAGEREF _Toc6300 </w:instrText>
          </w:r>
          <w:r>
            <w:fldChar w:fldCharType="separate"/>
          </w:r>
          <w:r>
            <w:t>4</w:t>
          </w:r>
          <w:r>
            <w:fldChar w:fldCharType="end"/>
          </w:r>
          <w:r>
            <w:rPr>
              <w:rFonts w:hint="eastAsia" w:ascii="黑体" w:hAnsi="黑体" w:eastAsia="黑体" w:cs="黑体"/>
              <w:szCs w:val="32"/>
            </w:rPr>
            <w:fldChar w:fldCharType="end"/>
          </w:r>
        </w:p>
        <w:p>
          <w:pPr>
            <w:pStyle w:val="5"/>
            <w:tabs>
              <w:tab w:val="right" w:leader="dot" w:pos="9090"/>
            </w:tabs>
          </w:pPr>
          <w:r>
            <w:rPr>
              <w:rFonts w:hint="eastAsia" w:ascii="黑体" w:hAnsi="黑体" w:eastAsia="黑体" w:cs="黑体"/>
              <w:szCs w:val="32"/>
            </w:rPr>
            <w:fldChar w:fldCharType="begin"/>
          </w:r>
          <w:r>
            <w:rPr>
              <w:rFonts w:hint="eastAsia" w:ascii="黑体" w:hAnsi="黑体" w:eastAsia="黑体" w:cs="黑体"/>
              <w:szCs w:val="32"/>
            </w:rPr>
            <w:instrText xml:space="preserve"> HYPERLINK \l _Toc17006 </w:instrText>
          </w:r>
          <w:r>
            <w:rPr>
              <w:rFonts w:hint="eastAsia" w:ascii="黑体" w:hAnsi="黑体" w:eastAsia="黑体" w:cs="黑体"/>
              <w:szCs w:val="32"/>
            </w:rPr>
            <w:fldChar w:fldCharType="separate"/>
          </w:r>
          <w:r>
            <w:rPr>
              <w:rFonts w:hint="eastAsia"/>
              <w:lang w:val="zh-CN" w:eastAsia="zh-CN"/>
            </w:rPr>
            <w:t>中心静脉线连接器保护套</w:t>
          </w:r>
          <w:r>
            <w:tab/>
          </w:r>
          <w:r>
            <w:fldChar w:fldCharType="begin"/>
          </w:r>
          <w:r>
            <w:instrText xml:space="preserve"> PAGEREF _Toc17006 </w:instrText>
          </w:r>
          <w:r>
            <w:fldChar w:fldCharType="separate"/>
          </w:r>
          <w:r>
            <w:t>5</w:t>
          </w:r>
          <w:r>
            <w:fldChar w:fldCharType="end"/>
          </w:r>
          <w:r>
            <w:rPr>
              <w:rFonts w:hint="eastAsia" w:ascii="黑体" w:hAnsi="黑体" w:eastAsia="黑体" w:cs="黑体"/>
              <w:szCs w:val="32"/>
            </w:rPr>
            <w:fldChar w:fldCharType="end"/>
          </w:r>
        </w:p>
        <w:p>
          <w:pPr>
            <w:pStyle w:val="5"/>
            <w:tabs>
              <w:tab w:val="right" w:leader="dot" w:pos="9090"/>
            </w:tabs>
          </w:pPr>
          <w:r>
            <w:rPr>
              <w:rFonts w:hint="eastAsia" w:ascii="黑体" w:hAnsi="黑体" w:eastAsia="黑体" w:cs="黑体"/>
              <w:szCs w:val="32"/>
            </w:rPr>
            <w:fldChar w:fldCharType="begin"/>
          </w:r>
          <w:r>
            <w:rPr>
              <w:rFonts w:hint="eastAsia" w:ascii="黑体" w:hAnsi="黑体" w:eastAsia="黑体" w:cs="黑体"/>
              <w:szCs w:val="32"/>
            </w:rPr>
            <w:instrText xml:space="preserve"> HYPERLINK \l _Toc31704 </w:instrText>
          </w:r>
          <w:r>
            <w:rPr>
              <w:rFonts w:hint="eastAsia" w:ascii="黑体" w:hAnsi="黑体" w:eastAsia="黑体" w:cs="黑体"/>
              <w:szCs w:val="32"/>
            </w:rPr>
            <w:fldChar w:fldCharType="separate"/>
          </w:r>
          <w:r>
            <w:rPr>
              <w:rFonts w:hint="eastAsia"/>
            </w:rPr>
            <w:t>次氯酸电解水生产装置制造技术</w:t>
          </w:r>
          <w:r>
            <w:tab/>
          </w:r>
          <w:r>
            <w:fldChar w:fldCharType="begin"/>
          </w:r>
          <w:r>
            <w:instrText xml:space="preserve"> PAGEREF _Toc31704 </w:instrText>
          </w:r>
          <w:r>
            <w:fldChar w:fldCharType="separate"/>
          </w:r>
          <w:r>
            <w:t>5</w:t>
          </w:r>
          <w:r>
            <w:fldChar w:fldCharType="end"/>
          </w:r>
          <w:r>
            <w:rPr>
              <w:rFonts w:hint="eastAsia" w:ascii="黑体" w:hAnsi="黑体" w:eastAsia="黑体" w:cs="黑体"/>
              <w:szCs w:val="32"/>
            </w:rPr>
            <w:fldChar w:fldCharType="end"/>
          </w:r>
        </w:p>
        <w:p>
          <w:pPr>
            <w:spacing w:after="0"/>
            <w:rPr>
              <w:rFonts w:hint="eastAsia" w:ascii="黑体" w:hAnsi="黑体" w:eastAsia="黑体" w:cs="黑体"/>
              <w:sz w:val="32"/>
              <w:szCs w:val="32"/>
            </w:rPr>
            <w:sectPr>
              <w:type w:val="continuous"/>
              <w:pgSz w:w="11910" w:h="16840"/>
              <w:pgMar w:top="1580" w:right="1480" w:bottom="280" w:left="1340" w:header="720" w:footer="720" w:gutter="0"/>
            </w:sectPr>
          </w:pPr>
          <w:r>
            <w:rPr>
              <w:rFonts w:hint="eastAsia" w:ascii="黑体" w:hAnsi="黑体" w:eastAsia="黑体" w:cs="黑体"/>
              <w:szCs w:val="32"/>
            </w:rPr>
            <w:fldChar w:fldCharType="end"/>
          </w:r>
        </w:p>
      </w:sdtContent>
    </w:sdt>
    <w:p>
      <w:pPr>
        <w:pStyle w:val="2"/>
        <w:bidi w:val="0"/>
        <w:ind w:left="0" w:leftChars="0" w:firstLine="0" w:firstLineChars="0"/>
        <w:jc w:val="center"/>
      </w:pPr>
      <w:bookmarkStart w:id="0" w:name="_Toc30893"/>
      <w:r>
        <w:t>选择性触发肿瘤细胞凋亡的蛋白质</w:t>
      </w:r>
      <w:bookmarkEnd w:id="0"/>
    </w:p>
    <w:p>
      <w:pPr>
        <w:pStyle w:val="3"/>
        <w:spacing w:before="12"/>
        <w:rPr>
          <w:rFonts w:ascii="黑体"/>
          <w:b/>
          <w:sz w:val="38"/>
        </w:rPr>
      </w:pPr>
    </w:p>
    <w:p>
      <w:pPr>
        <w:pStyle w:val="3"/>
        <w:spacing w:line="417" w:lineRule="auto"/>
        <w:ind w:left="220" w:right="216" w:firstLine="559"/>
        <w:jc w:val="both"/>
      </w:pPr>
      <w:r>
        <w:rPr>
          <w:color w:val="212121"/>
        </w:rPr>
        <w:t>华沙大学技术转移中心成立于1998年，旨在发挥大学在国家经济中的知识和技术潜力，促进学术</w:t>
      </w:r>
      <w:bookmarkStart w:id="9" w:name="_GoBack"/>
      <w:bookmarkEnd w:id="9"/>
      <w:r>
        <w:rPr>
          <w:color w:val="212121"/>
        </w:rPr>
        <w:t>知识的商业化和产业化。中心目前管理着大约300个专利和7个初创公司。</w:t>
      </w:r>
    </w:p>
    <w:p>
      <w:pPr>
        <w:pStyle w:val="3"/>
        <w:spacing w:line="417" w:lineRule="auto"/>
        <w:ind w:left="220" w:right="205" w:firstLine="559"/>
        <w:jc w:val="both"/>
      </w:pPr>
      <w:r>
        <w:rPr>
          <w:color w:val="212121"/>
        </w:rPr>
        <w:t>该发明提供了重组融合蛋白ProSTAT，和一种能使该蛋白进入细胞的运输盒，即一种TAT盒以及一种活性盒，该活性盒包含人类BID蛋白的氨基酸序列，可选择性使癌细胞变得敏感，促进癌细胞特别是前列腺癌、宫颈癌、非小细胞肺癌的凋亡。</w:t>
      </w:r>
    </w:p>
    <w:p>
      <w:pPr>
        <w:pStyle w:val="3"/>
        <w:spacing w:line="417" w:lineRule="auto"/>
        <w:ind w:left="220" w:right="217" w:firstLine="559"/>
        <w:jc w:val="both"/>
      </w:pPr>
      <w:r>
        <w:rPr>
          <w:color w:val="212121"/>
        </w:rPr>
        <w:t>该发明还提供了药学上可接受的药物组合物，能够降低重组融合蛋白ProSTAT对蛋白降解的敏感性/免疫原性，以及一种或多种药学上可接受的用于治疗癌症，特别是前列腺癌、宫颈癌和非小细胞肺癌的辅料/载体。</w:t>
      </w:r>
    </w:p>
    <w:p>
      <w:pPr>
        <w:pStyle w:val="3"/>
        <w:spacing w:line="417" w:lineRule="auto"/>
        <w:ind w:left="220" w:right="220" w:firstLine="559"/>
        <w:jc w:val="both"/>
      </w:pPr>
      <w:r>
        <w:rPr>
          <w:color w:val="212121"/>
        </w:rPr>
        <w:t>此外，该发明还提供了一种表达载体。该表达载体包含编码重组融合蛋白ProSTAT的核苷酸序列， 可用于生产和纯化重组融合蛋白ProSTAT。</w:t>
      </w:r>
    </w:p>
    <w:p>
      <w:pPr>
        <w:pStyle w:val="3"/>
        <w:spacing w:line="417" w:lineRule="auto"/>
        <w:ind w:left="220" w:right="221" w:firstLine="559"/>
      </w:pPr>
      <w:r>
        <w:rPr>
          <w:color w:val="212121"/>
        </w:rPr>
        <w:t>该技术已提交专利申请，且小规模生产，外方希望以技术转让、专利许可证贸易、合作生产、投资等方式寻求合作。</w:t>
      </w:r>
    </w:p>
    <w:p>
      <w:pPr>
        <w:spacing w:after="0" w:line="417" w:lineRule="auto"/>
        <w:sectPr>
          <w:footerReference r:id="rId3" w:type="default"/>
          <w:footerReference r:id="rId4" w:type="even"/>
          <w:pgSz w:w="11910" w:h="16840"/>
          <w:pgMar w:top="1580" w:right="1480" w:bottom="1300" w:left="1340" w:header="0" w:footer="1114" w:gutter="0"/>
          <w:pgNumType w:start="1"/>
        </w:sectPr>
      </w:pPr>
    </w:p>
    <w:p>
      <w:pPr>
        <w:pStyle w:val="3"/>
        <w:spacing w:before="3"/>
        <w:rPr>
          <w:sz w:val="23"/>
        </w:rPr>
      </w:pPr>
    </w:p>
    <w:p>
      <w:pPr>
        <w:pStyle w:val="2"/>
        <w:bidi w:val="0"/>
      </w:pPr>
      <w:bookmarkStart w:id="1" w:name="_Toc8401"/>
      <w:r>
        <w:t>超声波纺织品浸渍技术</w:t>
      </w:r>
      <w:bookmarkEnd w:id="1"/>
    </w:p>
    <w:p>
      <w:pPr>
        <w:pStyle w:val="3"/>
        <w:spacing w:before="12"/>
        <w:rPr>
          <w:rFonts w:ascii="黑体"/>
          <w:b/>
          <w:sz w:val="38"/>
        </w:rPr>
      </w:pPr>
    </w:p>
    <w:p>
      <w:pPr>
        <w:pStyle w:val="3"/>
        <w:spacing w:line="417" w:lineRule="auto"/>
        <w:ind w:left="220" w:right="219" w:firstLine="559"/>
      </w:pPr>
      <w:r>
        <w:rPr>
          <w:color w:val="212121"/>
        </w:rPr>
        <w:t>Sonovia是一家研究纺织物浸润技术的以色列初创公司。此项技术基于以色列巴伊兰大学开发的超声波纳米浸润技术。</w:t>
      </w:r>
    </w:p>
    <w:p>
      <w:pPr>
        <w:pStyle w:val="3"/>
        <w:spacing w:line="417" w:lineRule="auto"/>
        <w:ind w:left="220" w:right="212" w:firstLine="559"/>
        <w:jc w:val="both"/>
      </w:pPr>
      <w:r>
        <w:rPr>
          <w:color w:val="212121"/>
        </w:rPr>
        <w:t>Sonovia公司研发的纳米级纺织品浸渍工艺，利用超声波技术取代传统化工纺织技术，根据不同纺织物的结构特性和微观构造特征，将纺织物所需的氧化锌和氧化铜等抗菌消毒剂高效、持久地“注入”纺织物结构中。与传统化工纺织技术相比，此项技术有效减少了环境污染，同时纺织物抗菌抗病毒的持久性大大提高。产品经过初步试验测试，在75°C水中的洗涤100次或65°C水中洗涤92次后，纺织品依然有抗菌抗病毒性。</w:t>
      </w:r>
    </w:p>
    <w:p>
      <w:pPr>
        <w:pStyle w:val="3"/>
        <w:spacing w:line="417" w:lineRule="auto"/>
        <w:ind w:left="220" w:right="221" w:firstLine="559"/>
      </w:pPr>
      <w:r>
        <w:rPr>
          <w:color w:val="212121"/>
        </w:rPr>
        <w:t>该技术为实验室成果，公司尚未完成商业化过程，公司实验室存储一定数量面料。外方希望以出口产品的方式开展合作。</w:t>
      </w:r>
    </w:p>
    <w:p>
      <w:pPr>
        <w:pStyle w:val="2"/>
        <w:bidi w:val="0"/>
      </w:pPr>
      <w:bookmarkStart w:id="2" w:name="_Toc26947"/>
      <w:r>
        <w:t>皮内供药微针</w:t>
      </w:r>
      <w:bookmarkEnd w:id="2"/>
    </w:p>
    <w:p>
      <w:pPr>
        <w:pStyle w:val="3"/>
        <w:spacing w:before="2"/>
        <w:rPr>
          <w:rFonts w:ascii="黑体"/>
          <w:b/>
          <w:sz w:val="39"/>
        </w:rPr>
      </w:pPr>
    </w:p>
    <w:p>
      <w:pPr>
        <w:pStyle w:val="3"/>
        <w:spacing w:line="417" w:lineRule="auto"/>
        <w:ind w:left="220" w:right="218" w:firstLine="559"/>
        <w:jc w:val="both"/>
      </w:pPr>
      <w:r>
        <w:rPr>
          <w:color w:val="212121"/>
        </w:rPr>
        <w:t>以色列</w:t>
      </w:r>
      <w:r>
        <w:rPr>
          <w:rFonts w:ascii="Calibri" w:eastAsia="Calibri"/>
          <w:color w:val="212121"/>
        </w:rPr>
        <w:t>NanoPass MicronJet</w:t>
      </w:r>
      <w:r>
        <w:rPr>
          <w:color w:val="212121"/>
        </w:rPr>
        <w:t>公司主要研究近乎无痛的疫苗和药物皮内供药技术，该公司技术具有低泄漏率和高成功率特点，较目前传统肌肉或皮下注射方法具有显着优势。</w:t>
      </w:r>
    </w:p>
    <w:p>
      <w:pPr>
        <w:pStyle w:val="3"/>
        <w:spacing w:line="417" w:lineRule="auto"/>
        <w:ind w:left="220" w:right="218" w:firstLine="559"/>
        <w:jc w:val="both"/>
      </w:pPr>
      <w:r>
        <w:rPr>
          <w:color w:val="212121"/>
        </w:rPr>
        <w:t>与传统的给药方法（肌肉内和皮下注射）相比，皮内疫苗注射已被反复证明可以节省大量剂量。人皮肤的真皮和表皮富含抗原呈递细胞，它们在诱导免疫反应中起关键作用。将疫苗注射到这些层中可以</w:t>
      </w:r>
    </w:p>
    <w:p>
      <w:pPr>
        <w:spacing w:after="0" w:line="417" w:lineRule="auto"/>
        <w:jc w:val="both"/>
        <w:sectPr>
          <w:pgSz w:w="11910" w:h="16840"/>
          <w:pgMar w:top="1580" w:right="1480" w:bottom="1300" w:left="1340" w:header="0" w:footer="1114" w:gutter="0"/>
        </w:sectPr>
      </w:pPr>
    </w:p>
    <w:p>
      <w:pPr>
        <w:pStyle w:val="3"/>
        <w:spacing w:before="9"/>
        <w:rPr>
          <w:sz w:val="24"/>
        </w:rPr>
      </w:pPr>
    </w:p>
    <w:p>
      <w:pPr>
        <w:pStyle w:val="3"/>
        <w:spacing w:before="61" w:line="417" w:lineRule="auto"/>
        <w:ind w:left="220" w:right="218"/>
      </w:pPr>
      <w:r>
        <w:rPr>
          <w:color w:val="212121"/>
        </w:rPr>
        <w:t>使抗原更靠近抗原呈递细胞，从而让较小剂量的抗原诱导与标准剂量相当的免疫反应。</w:t>
      </w:r>
    </w:p>
    <w:p>
      <w:pPr>
        <w:pStyle w:val="3"/>
        <w:spacing w:line="417" w:lineRule="auto"/>
        <w:ind w:left="220" w:right="208" w:firstLine="559"/>
        <w:jc w:val="both"/>
      </w:pPr>
      <w:r>
        <w:rPr>
          <w:color w:val="212121"/>
        </w:rPr>
        <w:t>该公司旗舰产品</w:t>
      </w:r>
      <w:r>
        <w:rPr>
          <w:rFonts w:ascii="Calibri" w:eastAsia="Calibri"/>
          <w:color w:val="212121"/>
        </w:rPr>
        <w:t>0.6</w:t>
      </w:r>
      <w:r>
        <w:rPr>
          <w:color w:val="212121"/>
        </w:rPr>
        <w:t>毫米</w:t>
      </w:r>
      <w:r>
        <w:rPr>
          <w:rFonts w:ascii="Calibri" w:eastAsia="Calibri"/>
          <w:color w:val="212121"/>
        </w:rPr>
        <w:t>MicronJet600</w:t>
      </w:r>
      <w:r>
        <w:rPr>
          <w:color w:val="212121"/>
        </w:rPr>
        <w:t>微针获得</w:t>
      </w:r>
      <w:r>
        <w:rPr>
          <w:rFonts w:ascii="Calibri" w:eastAsia="Calibri"/>
          <w:color w:val="212121"/>
        </w:rPr>
        <w:t>FDA</w:t>
      </w:r>
      <w:r>
        <w:rPr>
          <w:color w:val="212121"/>
        </w:rPr>
        <w:t>认证和</w:t>
      </w:r>
      <w:r>
        <w:rPr>
          <w:rFonts w:ascii="Calibri" w:eastAsia="Calibri"/>
          <w:color w:val="212121"/>
        </w:rPr>
        <w:t>CE</w:t>
      </w:r>
      <w:r>
        <w:rPr>
          <w:color w:val="212121"/>
        </w:rPr>
        <w:t>认证， 并获得在其他地区（包括中国、巴西、香港、韩国、俄罗斯、加拿大和以色列）进行营销的许可。公司支持多个</w:t>
      </w:r>
      <w:r>
        <w:rPr>
          <w:rFonts w:ascii="Calibri" w:eastAsia="Calibri"/>
          <w:color w:val="212121"/>
        </w:rPr>
        <w:t>I-III</w:t>
      </w:r>
      <w:r>
        <w:rPr>
          <w:color w:val="212121"/>
        </w:rPr>
        <w:t>期临床研究，并正在积极寻求与全球疫苗开发商的其他合作伙伴关系。</w:t>
      </w:r>
    </w:p>
    <w:p>
      <w:pPr>
        <w:pStyle w:val="3"/>
        <w:spacing w:line="417" w:lineRule="auto"/>
        <w:ind w:left="220" w:right="221" w:firstLine="559"/>
      </w:pPr>
      <w:r>
        <w:rPr>
          <w:color w:val="212121"/>
        </w:rPr>
        <w:t>该技术已具备专利，已规模生产，该企业将中国作为主要发展市场，可以在生产、营销、研发等各领域以各种形式开展合作。</w:t>
      </w:r>
    </w:p>
    <w:p>
      <w:pPr>
        <w:pStyle w:val="2"/>
        <w:bidi w:val="0"/>
      </w:pPr>
      <w:bookmarkStart w:id="3" w:name="_Toc17088"/>
      <w:r>
        <w:t>提高人体免疫力的姜黄素产品</w:t>
      </w:r>
      <w:bookmarkEnd w:id="3"/>
    </w:p>
    <w:p>
      <w:pPr>
        <w:pStyle w:val="3"/>
        <w:spacing w:before="1"/>
        <w:rPr>
          <w:rFonts w:ascii="黑体"/>
          <w:b/>
          <w:sz w:val="39"/>
        </w:rPr>
      </w:pPr>
    </w:p>
    <w:p>
      <w:pPr>
        <w:pStyle w:val="3"/>
        <w:spacing w:before="1" w:line="417" w:lineRule="auto"/>
        <w:ind w:left="220" w:right="216" w:firstLine="559"/>
        <w:jc w:val="both"/>
      </w:pPr>
      <w:r>
        <w:rPr>
          <w:color w:val="212121"/>
        </w:rPr>
        <w:t>印度</w:t>
      </w:r>
      <w:r>
        <w:rPr>
          <w:rFonts w:ascii="Calibri" w:eastAsia="Calibri"/>
          <w:color w:val="212121"/>
        </w:rPr>
        <w:t>Lyrus Life Sciences Pvt Ltd.</w:t>
      </w:r>
      <w:r>
        <w:rPr>
          <w:color w:val="212121"/>
        </w:rPr>
        <w:t>是一家以研发为基础的制药公司，专门开发具有独特性质的天然产品。</w:t>
      </w:r>
    </w:p>
    <w:p>
      <w:pPr>
        <w:pStyle w:val="3"/>
        <w:spacing w:line="417" w:lineRule="auto"/>
        <w:ind w:left="220" w:right="218" w:firstLine="559"/>
        <w:jc w:val="both"/>
      </w:pPr>
      <w:r>
        <w:rPr>
          <w:color w:val="212121"/>
        </w:rPr>
        <w:t>该技术为一款姜黄素产品，能显著提高姜黄素的溶解度，提高吸收速率。产品已完成临床研究，被证明能够提高人体免疫力，计划于</w:t>
      </w:r>
      <w:r>
        <w:rPr>
          <w:rFonts w:ascii="Calibri" w:eastAsia="Calibri"/>
          <w:color w:val="212121"/>
        </w:rPr>
        <w:t>2020</w:t>
      </w:r>
      <w:r>
        <w:rPr>
          <w:color w:val="212121"/>
        </w:rPr>
        <w:t>年</w:t>
      </w:r>
      <w:r>
        <w:rPr>
          <w:rFonts w:ascii="Calibri" w:eastAsia="Calibri"/>
          <w:color w:val="212121"/>
        </w:rPr>
        <w:t>3</w:t>
      </w:r>
      <w:r>
        <w:rPr>
          <w:color w:val="212121"/>
        </w:rPr>
        <w:t>月上市。</w:t>
      </w:r>
    </w:p>
    <w:p>
      <w:pPr>
        <w:pStyle w:val="3"/>
        <w:spacing w:line="417" w:lineRule="auto"/>
        <w:ind w:left="220" w:right="221" w:firstLine="559"/>
      </w:pPr>
      <w:r>
        <w:rPr>
          <w:color w:val="212121"/>
        </w:rPr>
        <w:t>该技术已提交专利申请，希望与中国企业方展开积极合作，具体合作方式需商谈后决定。</w:t>
      </w:r>
    </w:p>
    <w:p>
      <w:pPr>
        <w:pStyle w:val="2"/>
        <w:bidi w:val="0"/>
      </w:pPr>
      <w:bookmarkStart w:id="4" w:name="_Toc32125"/>
      <w:r>
        <w:t>可植入芯片式疫苗技术</w:t>
      </w:r>
      <w:bookmarkEnd w:id="4"/>
    </w:p>
    <w:p>
      <w:pPr>
        <w:pStyle w:val="3"/>
        <w:spacing w:before="12"/>
        <w:rPr>
          <w:rFonts w:ascii="黑体"/>
          <w:b/>
          <w:sz w:val="38"/>
        </w:rPr>
      </w:pPr>
    </w:p>
    <w:p>
      <w:pPr>
        <w:pStyle w:val="3"/>
        <w:spacing w:line="417" w:lineRule="auto"/>
        <w:ind w:left="220" w:right="221" w:firstLine="559"/>
      </w:pPr>
      <w:r>
        <w:rPr>
          <w:color w:val="212121"/>
        </w:rPr>
        <w:t>克里特大学生物系免疫学实验室开发了一种可植入疫苗技术，已在希腊获得专利（</w:t>
      </w:r>
      <w:r>
        <w:rPr>
          <w:rFonts w:ascii="Calibri" w:eastAsia="Calibri"/>
          <w:color w:val="212121"/>
        </w:rPr>
        <w:t>GR1008652B</w:t>
      </w:r>
      <w:r>
        <w:rPr>
          <w:color w:val="212121"/>
        </w:rPr>
        <w:t>）。</w:t>
      </w:r>
    </w:p>
    <w:p>
      <w:pPr>
        <w:spacing w:after="0" w:line="417" w:lineRule="auto"/>
        <w:sectPr>
          <w:pgSz w:w="11910" w:h="16840"/>
          <w:pgMar w:top="1580" w:right="1480" w:bottom="1300" w:left="1340" w:header="0" w:footer="1114" w:gutter="0"/>
        </w:sectPr>
      </w:pPr>
    </w:p>
    <w:p>
      <w:pPr>
        <w:pStyle w:val="3"/>
        <w:spacing w:before="9"/>
        <w:rPr>
          <w:sz w:val="24"/>
        </w:rPr>
      </w:pPr>
    </w:p>
    <w:p>
      <w:pPr>
        <w:pStyle w:val="3"/>
        <w:spacing w:before="61" w:line="417" w:lineRule="auto"/>
        <w:ind w:left="220" w:right="218" w:firstLine="559"/>
        <w:jc w:val="both"/>
      </w:pPr>
      <w:r>
        <w:rPr>
          <w:color w:val="212121"/>
        </w:rPr>
        <w:t>据介绍，该技术可以在体外开发出一种个性化的植入物，该植入物可以携带被抗原刺激活化的宿主细胞，从而在皮下植入时刺激宿主的免疫系统，抵抗传染原。植入物是经过专门激光改性的、不可生物降解的</w:t>
      </w:r>
      <w:r>
        <w:rPr>
          <w:rFonts w:ascii="Calibri" w:eastAsia="Calibri"/>
          <w:color w:val="212121"/>
        </w:rPr>
        <w:t>Si</w:t>
      </w:r>
      <w:r>
        <w:rPr>
          <w:color w:val="212121"/>
        </w:rPr>
        <w:t>表面，没有副作用，可以在植入后</w:t>
      </w:r>
      <w:r>
        <w:rPr>
          <w:rFonts w:ascii="Calibri" w:eastAsia="Calibri"/>
          <w:color w:val="212121"/>
        </w:rPr>
        <w:t>5</w:t>
      </w:r>
      <w:r>
        <w:rPr>
          <w:color w:val="212121"/>
        </w:rPr>
        <w:t>～</w:t>
      </w:r>
      <w:r>
        <w:rPr>
          <w:rFonts w:ascii="Calibri" w:eastAsia="Calibri"/>
          <w:color w:val="212121"/>
        </w:rPr>
        <w:t>6</w:t>
      </w:r>
      <w:r>
        <w:rPr>
          <w:color w:val="212121"/>
        </w:rPr>
        <w:t>个月内取出。</w:t>
      </w:r>
    </w:p>
    <w:p>
      <w:pPr>
        <w:pStyle w:val="3"/>
        <w:spacing w:line="417" w:lineRule="auto"/>
        <w:ind w:left="220" w:right="221" w:firstLine="559"/>
      </w:pPr>
      <w:r>
        <w:rPr>
          <w:color w:val="212121"/>
        </w:rPr>
        <w:t>该技术已具备专利，为实验室成果，尚未在人类中应用，外方希望与中方有兴趣医院、研发机构等开展研发合作。</w:t>
      </w:r>
    </w:p>
    <w:p>
      <w:pPr>
        <w:pStyle w:val="2"/>
        <w:bidi w:val="0"/>
      </w:pPr>
      <w:bookmarkStart w:id="5" w:name="_Toc6300"/>
      <w:r>
        <w:t>车辆动态称重项目</w:t>
      </w:r>
      <w:bookmarkEnd w:id="5"/>
    </w:p>
    <w:p>
      <w:pPr>
        <w:pStyle w:val="3"/>
        <w:spacing w:before="1"/>
        <w:rPr>
          <w:rFonts w:ascii="黑体"/>
          <w:b/>
          <w:sz w:val="39"/>
        </w:rPr>
      </w:pPr>
    </w:p>
    <w:p>
      <w:pPr>
        <w:pStyle w:val="3"/>
        <w:spacing w:before="1" w:line="417" w:lineRule="auto"/>
        <w:ind w:left="220" w:right="214" w:firstLine="559"/>
        <w:jc w:val="both"/>
      </w:pPr>
      <w:r>
        <w:rPr>
          <w:color w:val="212121"/>
        </w:rPr>
        <w:t>车辆动态称重（</w:t>
      </w:r>
      <w:r>
        <w:rPr>
          <w:rFonts w:ascii="Calibri" w:eastAsia="Calibri"/>
          <w:color w:val="212121"/>
        </w:rPr>
        <w:t>Weighing In Motion</w:t>
      </w:r>
      <w:r>
        <w:rPr>
          <w:color w:val="212121"/>
        </w:rPr>
        <w:t>）技术能够对低速或常速行驶中的车辆进行称重，运用该技术的地秤设备将成为高速公路的车辆收费依据和执法辅助工具，主要用于检测货车超载和计重收费等。</w:t>
      </w:r>
    </w:p>
    <w:p>
      <w:pPr>
        <w:pStyle w:val="3"/>
        <w:spacing w:line="417" w:lineRule="auto"/>
        <w:ind w:left="220" w:right="211" w:firstLine="559"/>
        <w:jc w:val="both"/>
      </w:pPr>
      <w:r>
        <w:rPr>
          <w:color w:val="212121"/>
        </w:rPr>
        <w:t>奥地利企业</w:t>
      </w:r>
      <w:r>
        <w:rPr>
          <w:rFonts w:ascii="Calibri" w:hAnsi="Calibri" w:eastAsia="Calibri"/>
          <w:color w:val="212121"/>
        </w:rPr>
        <w:t>HHB Batsch GmbH</w:t>
      </w:r>
      <w:r>
        <w:rPr>
          <w:color w:val="212121"/>
        </w:rPr>
        <w:t>自主研发的</w:t>
      </w:r>
      <w:r>
        <w:rPr>
          <w:rFonts w:ascii="Calibri" w:hAnsi="Calibri" w:eastAsia="Calibri"/>
          <w:color w:val="212121"/>
        </w:rPr>
        <w:t>HHB01</w:t>
      </w:r>
      <w:r>
        <w:rPr>
          <w:color w:val="212121"/>
        </w:rPr>
        <w:t>和</w:t>
      </w:r>
      <w:r>
        <w:rPr>
          <w:rFonts w:ascii="Calibri" w:hAnsi="Calibri" w:eastAsia="Calibri"/>
          <w:color w:val="212121"/>
        </w:rPr>
        <w:t>HHB02</w:t>
      </w:r>
      <w:r>
        <w:rPr>
          <w:color w:val="212121"/>
        </w:rPr>
        <w:t>地秤，可实现在不影响交通流量的情况下，对低速运行中的车辆进行拍照、车辆种类和车牌自动识别、车轴重量和车辆总重测量，并基于官方标准进行超重判定与系统记录。两种地秤均适用于检测带拖车和半挂车的货运车辆，自动检测最大精准载荷可达</w:t>
      </w:r>
      <w:r>
        <w:rPr>
          <w:rFonts w:ascii="Calibri" w:hAnsi="Calibri" w:eastAsia="Calibri"/>
          <w:color w:val="212121"/>
        </w:rPr>
        <w:t>50</w:t>
      </w:r>
      <w:r>
        <w:rPr>
          <w:color w:val="212121"/>
        </w:rPr>
        <w:t>吨，其中</w:t>
      </w:r>
      <w:r>
        <w:rPr>
          <w:rFonts w:ascii="Calibri" w:hAnsi="Calibri" w:eastAsia="Calibri"/>
          <w:color w:val="212121"/>
        </w:rPr>
        <w:t>HHB01</w:t>
      </w:r>
      <w:r>
        <w:rPr>
          <w:color w:val="212121"/>
        </w:rPr>
        <w:t>适用于通行速度为</w:t>
      </w:r>
      <w:r>
        <w:rPr>
          <w:rFonts w:ascii="Calibri" w:hAnsi="Calibri" w:eastAsia="Calibri"/>
          <w:color w:val="212121"/>
        </w:rPr>
        <w:t>5-30</w:t>
      </w:r>
      <w:r>
        <w:rPr>
          <w:color w:val="212121"/>
        </w:rPr>
        <w:t>公里</w:t>
      </w:r>
      <w:r>
        <w:rPr>
          <w:rFonts w:ascii="Calibri" w:hAnsi="Calibri" w:eastAsia="Calibri"/>
          <w:color w:val="212121"/>
        </w:rPr>
        <w:t>/</w:t>
      </w:r>
      <w:r>
        <w:rPr>
          <w:color w:val="212121"/>
        </w:rPr>
        <w:t>小时的车辆，</w:t>
      </w:r>
      <w:r>
        <w:rPr>
          <w:rFonts w:ascii="Calibri" w:hAnsi="Calibri" w:eastAsia="Calibri"/>
          <w:color w:val="212121"/>
        </w:rPr>
        <w:t>HHB02</w:t>
      </w:r>
      <w:r>
        <w:rPr>
          <w:color w:val="212121"/>
        </w:rPr>
        <w:t>适用于通行速度为</w:t>
      </w:r>
      <w:r>
        <w:rPr>
          <w:rFonts w:ascii="Calibri" w:hAnsi="Calibri" w:eastAsia="Calibri"/>
          <w:color w:val="212121"/>
        </w:rPr>
        <w:t>2-12</w:t>
      </w:r>
      <w:r>
        <w:rPr>
          <w:color w:val="212121"/>
        </w:rPr>
        <w:t>公里</w:t>
      </w:r>
      <w:r>
        <w:rPr>
          <w:rFonts w:ascii="Calibri" w:hAnsi="Calibri" w:eastAsia="Calibri"/>
          <w:color w:val="212121"/>
        </w:rPr>
        <w:t>/</w:t>
      </w:r>
      <w:r>
        <w:rPr>
          <w:color w:val="212121"/>
        </w:rPr>
        <w:t>小时的车辆。</w:t>
      </w:r>
      <w:r>
        <w:rPr>
          <w:rFonts w:ascii="Calibri" w:hAnsi="Calibri" w:eastAsia="Calibri"/>
          <w:color w:val="212121"/>
        </w:rPr>
        <w:t>HHB01</w:t>
      </w:r>
      <w:r>
        <w:rPr>
          <w:color w:val="212121"/>
        </w:rPr>
        <w:t>和</w:t>
      </w:r>
      <w:r>
        <w:rPr>
          <w:rFonts w:ascii="Calibri" w:hAnsi="Calibri" w:eastAsia="Calibri"/>
          <w:color w:val="212121"/>
        </w:rPr>
        <w:t>HHB02</w:t>
      </w:r>
      <w:r>
        <w:rPr>
          <w:color w:val="212121"/>
        </w:rPr>
        <w:t>地磅均于</w:t>
      </w:r>
      <w:r>
        <w:rPr>
          <w:rFonts w:ascii="Calibri" w:hAnsi="Calibri" w:eastAsia="Calibri"/>
          <w:color w:val="212121"/>
        </w:rPr>
        <w:t>2018</w:t>
      </w:r>
      <w:r>
        <w:rPr>
          <w:color w:val="212121"/>
        </w:rPr>
        <w:t>年</w:t>
      </w:r>
      <w:r>
        <w:rPr>
          <w:rFonts w:ascii="Calibri" w:hAnsi="Calibri" w:eastAsia="Calibri"/>
          <w:color w:val="212121"/>
        </w:rPr>
        <w:t>9</w:t>
      </w:r>
      <w:r>
        <w:rPr>
          <w:color w:val="212121"/>
        </w:rPr>
        <w:t>月被安装于下奥地利州施里克的</w:t>
      </w:r>
      <w:r>
        <w:rPr>
          <w:rFonts w:ascii="Calibri" w:hAnsi="Calibri" w:eastAsia="Calibri"/>
          <w:color w:val="212121"/>
        </w:rPr>
        <w:t>A5</w:t>
      </w:r>
      <w:r>
        <w:rPr>
          <w:color w:val="212121"/>
        </w:rPr>
        <w:t>高速公路北部</w:t>
      </w:r>
      <w:r>
        <w:rPr>
          <w:rFonts w:ascii="Calibri" w:hAnsi="Calibri" w:eastAsia="Calibri"/>
          <w:color w:val="212121"/>
        </w:rPr>
        <w:t>Asfinag</w:t>
      </w:r>
      <w:r>
        <w:rPr>
          <w:color w:val="212121"/>
        </w:rPr>
        <w:t>交通管理站，连续运行状态良好。该项目曾被提名</w:t>
      </w:r>
      <w:r>
        <w:rPr>
          <w:rFonts w:ascii="Calibri" w:hAnsi="Calibri" w:eastAsia="Calibri"/>
          <w:color w:val="212121"/>
        </w:rPr>
        <w:t>2019</w:t>
      </w:r>
      <w:r>
        <w:rPr>
          <w:color w:val="212121"/>
        </w:rPr>
        <w:t>年奥地利国家交通奖（“安全出行”类别），该奖项每年由奥地利联邦气候保护、环境、能源、交通、创新与技术部颁发。</w:t>
      </w:r>
    </w:p>
    <w:p>
      <w:pPr>
        <w:spacing w:after="0" w:line="417" w:lineRule="auto"/>
        <w:jc w:val="both"/>
        <w:sectPr>
          <w:pgSz w:w="11910" w:h="16840"/>
          <w:pgMar w:top="1580" w:right="1480" w:bottom="1300" w:left="1340" w:header="0" w:footer="1114" w:gutter="0"/>
        </w:sectPr>
      </w:pPr>
    </w:p>
    <w:p>
      <w:pPr>
        <w:pStyle w:val="2"/>
        <w:bidi w:val="0"/>
        <w:outlineLvl w:val="9"/>
      </w:pPr>
    </w:p>
    <w:p>
      <w:pPr>
        <w:pStyle w:val="2"/>
        <w:bidi w:val="0"/>
        <w:rPr>
          <w:rFonts w:hint="eastAsia"/>
          <w:lang w:val="zh-CN" w:eastAsia="zh-CN"/>
        </w:rPr>
      </w:pPr>
      <w:bookmarkStart w:id="6" w:name="_bookmark7"/>
      <w:bookmarkEnd w:id="6"/>
      <w:bookmarkStart w:id="7" w:name="_Toc17006"/>
      <w:r>
        <w:rPr>
          <w:rFonts w:hint="eastAsia"/>
          <w:lang w:val="zh-CN" w:eastAsia="zh-CN"/>
        </w:rPr>
        <w:t>中心静脉线连接器保护套</w:t>
      </w:r>
      <w:bookmarkEnd w:id="7"/>
    </w:p>
    <w:p>
      <w:pPr>
        <w:pStyle w:val="3"/>
        <w:spacing w:line="417" w:lineRule="auto"/>
        <w:ind w:left="220" w:right="211" w:firstLine="559"/>
        <w:jc w:val="both"/>
        <w:rPr>
          <w:rFonts w:hint="eastAsia"/>
          <w:color w:val="212121"/>
        </w:rPr>
      </w:pPr>
    </w:p>
    <w:p>
      <w:pPr>
        <w:pStyle w:val="3"/>
        <w:spacing w:line="417" w:lineRule="auto"/>
        <w:ind w:left="220" w:right="211" w:firstLine="559"/>
        <w:jc w:val="both"/>
        <w:rPr>
          <w:rFonts w:hint="eastAsia"/>
          <w:color w:val="212121"/>
        </w:rPr>
      </w:pPr>
      <w:r>
        <w:rPr>
          <w:rFonts w:hint="eastAsia"/>
          <w:color w:val="212121"/>
        </w:rPr>
        <w:t>医用中心静脉线连接处暴露在外，被意外接触可导致中心线污染，从而引起住院患者感染。在美国，此原因导致的住院患者感染比</w:t>
      </w:r>
    </w:p>
    <w:p>
      <w:pPr>
        <w:pStyle w:val="3"/>
        <w:spacing w:line="417" w:lineRule="auto"/>
        <w:ind w:left="220" w:right="211" w:firstLine="559"/>
        <w:jc w:val="both"/>
        <w:rPr>
          <w:rFonts w:hint="eastAsia"/>
          <w:color w:val="212121"/>
        </w:rPr>
      </w:pPr>
      <w:r>
        <w:rPr>
          <w:rFonts w:hint="eastAsia"/>
          <w:color w:val="212121"/>
        </w:rPr>
        <w:t>例为1/300，每例感染造成5-8万美元损失。美国加州的医院需要对这类获得性感染承担责任，每例感染将对医疗卫生机构处以约130万美元罚款。</w:t>
      </w:r>
    </w:p>
    <w:p>
      <w:pPr>
        <w:pStyle w:val="3"/>
        <w:spacing w:line="417" w:lineRule="auto"/>
        <w:ind w:left="220" w:right="211" w:firstLine="559"/>
        <w:jc w:val="both"/>
        <w:rPr>
          <w:rFonts w:hint="eastAsia"/>
          <w:color w:val="212121"/>
        </w:rPr>
      </w:pPr>
      <w:r>
        <w:rPr>
          <w:rFonts w:hint="eastAsia"/>
          <w:color w:val="212121"/>
        </w:rPr>
        <w:t>美国加州医生Jan N. Walterspiel博士设计了一种避免中心静脉线连接处感染的可伸缩保护套：不使用连接处时，伸展的保护套通过避免连接处外露对其进行保护，使用时可压缩保护套，对连接处正常进行擦拭消毒、连接中心线等操作，从而避免患者感染。</w:t>
      </w:r>
    </w:p>
    <w:p>
      <w:pPr>
        <w:pStyle w:val="3"/>
        <w:spacing w:line="417" w:lineRule="auto"/>
        <w:ind w:left="220" w:right="211" w:firstLine="559"/>
        <w:jc w:val="both"/>
        <w:rPr>
          <w:rFonts w:hint="eastAsia"/>
          <w:color w:val="212121"/>
        </w:rPr>
      </w:pPr>
      <w:r>
        <w:rPr>
          <w:rFonts w:hint="eastAsia"/>
          <w:color w:val="212121"/>
        </w:rPr>
        <w:t>Jan N. Walterspiel博士愿将该设计无偿分享给中国相关公司。</w:t>
      </w:r>
    </w:p>
    <w:p>
      <w:pPr>
        <w:pStyle w:val="2"/>
        <w:bidi w:val="0"/>
        <w:rPr>
          <w:rFonts w:hint="eastAsia"/>
        </w:rPr>
      </w:pPr>
      <w:bookmarkStart w:id="8" w:name="_Toc31704"/>
      <w:r>
        <w:rPr>
          <w:rFonts w:hint="eastAsia"/>
        </w:rPr>
        <w:t>次氯酸电解水生产装置制造技术</w:t>
      </w:r>
      <w:bookmarkEnd w:id="8"/>
    </w:p>
    <w:p>
      <w:pPr>
        <w:pStyle w:val="3"/>
        <w:spacing w:line="417" w:lineRule="auto"/>
        <w:ind w:left="220" w:right="211" w:firstLine="559"/>
        <w:jc w:val="both"/>
        <w:rPr>
          <w:rFonts w:hint="eastAsia"/>
          <w:color w:val="212121"/>
        </w:rPr>
      </w:pPr>
    </w:p>
    <w:p>
      <w:pPr>
        <w:pStyle w:val="3"/>
        <w:spacing w:line="417" w:lineRule="auto"/>
        <w:ind w:left="220" w:right="211" w:firstLine="559"/>
        <w:jc w:val="both"/>
        <w:rPr>
          <w:rFonts w:hint="eastAsia"/>
          <w:color w:val="212121"/>
        </w:rPr>
      </w:pPr>
      <w:r>
        <w:rPr>
          <w:rFonts w:hint="eastAsia"/>
          <w:color w:val="212121"/>
        </w:rPr>
        <w:t>莱泽科技有限公司（Lyzer Tec Co.Ltd.）成立于1995年，注册资金2000万日元，系技术研发型小企业，主要进行如下技术研发：电解水发生装置、通过使用旋风式空气净化器进行杀菌除臭加湿以及分解各种化学物质的装置、电解氢发生装置等。公司拥有电解水发生装置相关16项基本专利，18项应用专利。</w:t>
      </w:r>
    </w:p>
    <w:p>
      <w:pPr>
        <w:pStyle w:val="3"/>
        <w:spacing w:line="417" w:lineRule="auto"/>
        <w:ind w:left="220" w:right="211" w:firstLine="559"/>
        <w:jc w:val="both"/>
        <w:rPr>
          <w:rFonts w:hint="eastAsia"/>
          <w:color w:val="212121"/>
        </w:rPr>
      </w:pPr>
      <w:r>
        <w:rPr>
          <w:rFonts w:hint="eastAsia"/>
          <w:color w:val="212121"/>
        </w:rPr>
        <w:t>次氯酸是一种强氧化剂，其分解形成的新生态氧能够使菌体和病毒的蛋白质变性，从而使病原微生物致死。次氯酸的浓度越高，消毒杀菌的效果越强。日常生活中，较为常见的是使用次氯酸钠溶液水解形成次氯酸，但由于水解体系呈碱性，不利于生成稳定的高浓度次氯酸，会大大影响其消毒杀菌效果。</w:t>
      </w:r>
    </w:p>
    <w:p>
      <w:pPr>
        <w:pStyle w:val="3"/>
        <w:spacing w:line="417" w:lineRule="auto"/>
        <w:ind w:left="220" w:right="211" w:firstLine="559"/>
        <w:jc w:val="both"/>
        <w:rPr>
          <w:rFonts w:hint="eastAsia"/>
          <w:color w:val="212121"/>
        </w:rPr>
      </w:pPr>
      <w:r>
        <w:rPr>
          <w:rFonts w:hint="eastAsia"/>
          <w:color w:val="212121"/>
        </w:rPr>
        <w:t>该技术能够高效率低成本连续生产高纯度、高浓度次氯酸电解水，解决了电解过程中水流速低，次氯酸浓度低，阴极附着钙、镁等金属层影响连续生产，以及产生剧毒的氯气等技术难题。该公司开发的2隔膜3室型电解槽与其他市售产品相比，能大幅提升有效氯浓度和纯度，且省电节能，电极使用寿命长、危险性低，可5000小时连续生产。</w:t>
      </w:r>
    </w:p>
    <w:p>
      <w:pPr>
        <w:pStyle w:val="3"/>
        <w:spacing w:line="417" w:lineRule="auto"/>
        <w:ind w:left="220" w:right="211" w:firstLine="559"/>
        <w:jc w:val="both"/>
        <w:rPr>
          <w:rFonts w:hint="eastAsia"/>
          <w:color w:val="212121"/>
        </w:rPr>
      </w:pPr>
      <w:r>
        <w:rPr>
          <w:rFonts w:hint="eastAsia"/>
          <w:color w:val="212121"/>
        </w:rPr>
        <w:t>试验表明，其次氯酸电解水产品在1-10分钟内对黄色葡萄球菌、真菌和流感病毒等诸多致病微生物的杀灭率高于99%。动物和人的安全</w:t>
      </w:r>
    </w:p>
    <w:p>
      <w:pPr>
        <w:pStyle w:val="3"/>
        <w:spacing w:line="417" w:lineRule="auto"/>
        <w:ind w:left="220" w:right="211" w:firstLine="559"/>
        <w:jc w:val="both"/>
        <w:rPr>
          <w:rFonts w:hint="eastAsia"/>
          <w:color w:val="212121"/>
        </w:rPr>
      </w:pPr>
      <w:r>
        <w:rPr>
          <w:rFonts w:hint="eastAsia"/>
          <w:color w:val="212121"/>
        </w:rPr>
        <w:t>（毒性）试验表明其对人体无害，安全性得到了日本厚生劳动省认可，可作为食品消毒剂使用。此外，该产品可以直接喷洒在医院等公共场所，或者加入加湿器中用于家庭日常消毒。</w:t>
      </w:r>
    </w:p>
    <w:p>
      <w:pPr>
        <w:pStyle w:val="3"/>
        <w:spacing w:line="417" w:lineRule="auto"/>
        <w:ind w:left="220" w:right="211" w:firstLine="559"/>
        <w:jc w:val="both"/>
        <w:rPr>
          <w:rFonts w:hint="eastAsia"/>
          <w:color w:val="212121"/>
        </w:rPr>
      </w:pPr>
      <w:r>
        <w:rPr>
          <w:rFonts w:hint="eastAsia"/>
          <w:color w:val="212121"/>
        </w:rPr>
        <w:t>次氯酸电解水还具备以下用途：1.洗涤功能，可减少大量工业用洗涤剂，减少冲洗量，达到节水目的；2.促进蔬果等植物生长；3.医疗用途，如可用于手术止血，促进细胞快速新生，促进免疫细胞增殖；4.可用于食物添加物杀菌；5.可用于未来绿色能源发电工程。</w:t>
      </w:r>
    </w:p>
    <w:p>
      <w:pPr>
        <w:pStyle w:val="3"/>
        <w:spacing w:line="417" w:lineRule="auto"/>
        <w:ind w:left="220" w:right="211" w:firstLine="559"/>
        <w:jc w:val="both"/>
        <w:rPr>
          <w:rFonts w:hint="eastAsia"/>
          <w:color w:val="212121"/>
        </w:rPr>
      </w:pPr>
      <w:r>
        <w:rPr>
          <w:rFonts w:hint="eastAsia"/>
          <w:color w:val="212121"/>
        </w:rPr>
        <w:t>该技术已具有专利，且小规模生产，希望以技术授权方式与中方企业合作，特别是与研究弱电的企业及医疗器械公司合作。投资规模视生产规模而定，估计在数千万—数亿元。最快1年内能实现产业化。</w:t>
      </w:r>
    </w:p>
    <w:p>
      <w:pPr>
        <w:pStyle w:val="3"/>
        <w:spacing w:line="417" w:lineRule="auto"/>
        <w:ind w:left="220" w:right="211" w:firstLine="559"/>
        <w:jc w:val="both"/>
        <w:rPr>
          <w:color w:val="212121"/>
        </w:rPr>
      </w:pPr>
    </w:p>
    <w:sectPr>
      <w:pgSz w:w="11910" w:h="16840"/>
      <w:pgMar w:top="1580" w:right="1480" w:bottom="1300" w:left="1340" w:header="0" w:footer="111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483136" behindDoc="1" locked="0" layoutInCell="1" allowOverlap="1">
              <wp:simplePos x="0" y="0"/>
              <wp:positionH relativeFrom="page">
                <wp:posOffset>981075</wp:posOffset>
              </wp:positionH>
              <wp:positionV relativeFrom="page">
                <wp:posOffset>9845040</wp:posOffset>
              </wp:positionV>
              <wp:extent cx="293370" cy="203835"/>
              <wp:effectExtent l="0" t="0" r="0" b="0"/>
              <wp:wrapNone/>
              <wp:docPr id="3" name="文本框 1"/>
              <wp:cNvGraphicFramePr/>
              <a:graphic xmlns:a="http://schemas.openxmlformats.org/drawingml/2006/main">
                <a:graphicData uri="http://schemas.microsoft.com/office/word/2010/wordprocessingShape">
                  <wps:wsp>
                    <wps:cNvSpPr txBox="1"/>
                    <wps:spPr>
                      <a:xfrm>
                        <a:off x="0" y="0"/>
                        <a:ext cx="293370" cy="203835"/>
                      </a:xfrm>
                      <a:prstGeom prst="rect">
                        <a:avLst/>
                      </a:prstGeom>
                      <a:noFill/>
                      <a:ln>
                        <a:noFill/>
                      </a:ln>
                    </wps:spPr>
                    <wps:txbx>
                      <w:txbxContent>
                        <w:p>
                          <w:pPr>
                            <w:pStyle w:val="3"/>
                            <w:spacing w:line="321" w:lineRule="exact"/>
                            <w:ind w:left="20"/>
                          </w:pPr>
                          <w:r>
                            <w:t>-</w:t>
                          </w:r>
                          <w:r>
                            <w:fldChar w:fldCharType="begin"/>
                          </w:r>
                          <w:r>
                            <w:instrText xml:space="preserve"> PAGE </w:instrText>
                          </w:r>
                          <w:r>
                            <w:fldChar w:fldCharType="separate"/>
                          </w:r>
                          <w:r>
                            <w:t>1</w:t>
                          </w:r>
                          <w:r>
                            <w:fldChar w:fldCharType="end"/>
                          </w:r>
                          <w:r>
                            <w:t>-</w:t>
                          </w:r>
                        </w:p>
                      </w:txbxContent>
                    </wps:txbx>
                    <wps:bodyPr lIns="0" tIns="0" rIns="0" bIns="0" upright="1"/>
                  </wps:wsp>
                </a:graphicData>
              </a:graphic>
            </wp:anchor>
          </w:drawing>
        </mc:Choice>
        <mc:Fallback>
          <w:pict>
            <v:shape id="文本框 1" o:spid="_x0000_s1026" o:spt="202" type="#_x0000_t202" style="position:absolute;left:0pt;margin-left:77.25pt;margin-top:775.2pt;height:16.05pt;width:23.1pt;mso-position-horizontal-relative:page;mso-position-vertical-relative:page;z-index:-251833344;mso-width-relative:page;mso-height-relative:page;" filled="f" stroked="f" coordsize="21600,21600" o:gfxdata="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Edgaj3ZAAAADQEAAA8AAAAAAAAA&#10;AQAgAAAAIgAAAGRycy9kb3ducmV2LnhtbFBLAQIUABQAAAAIAIdO4kA4hAMmngEAACMDAAAOAAAA&#10;AAAAAAEAIAAAACgBAABkcnMvZTJvRG9jLnhtbFBLBQYAAAAABgAGAFkBAAA4BQAAAAA=&#10;">
              <v:fill on="f" focussize="0,0"/>
              <v:stroke on="f"/>
              <v:imagedata o:title=""/>
              <o:lock v:ext="edit" aspectratio="f"/>
              <v:textbox inset="0mm,0mm,0mm,0mm">
                <w:txbxContent>
                  <w:p>
                    <w:pPr>
                      <w:pStyle w:val="3"/>
                      <w:spacing w:line="321" w:lineRule="exact"/>
                      <w:ind w:left="20"/>
                    </w:pPr>
                    <w:r>
                      <w:t>-</w:t>
                    </w:r>
                    <w:r>
                      <w:fldChar w:fldCharType="begin"/>
                    </w:r>
                    <w:r>
                      <w:instrText xml:space="preserve"> PAGE </w:instrText>
                    </w:r>
                    <w:r>
                      <w:fldChar w:fldCharType="separate"/>
                    </w:r>
                    <w:r>
                      <w:t>1</w:t>
                    </w:r>
                    <w:r>
                      <w:fldChar w:fldCharType="end"/>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484160" behindDoc="1" locked="0" layoutInCell="1" allowOverlap="1">
              <wp:simplePos x="0" y="0"/>
              <wp:positionH relativeFrom="page">
                <wp:posOffset>6201410</wp:posOffset>
              </wp:positionH>
              <wp:positionV relativeFrom="page">
                <wp:posOffset>9845040</wp:posOffset>
              </wp:positionV>
              <wp:extent cx="293370" cy="203835"/>
              <wp:effectExtent l="0" t="0" r="0" b="0"/>
              <wp:wrapNone/>
              <wp:docPr id="4" name="文本框 2"/>
              <wp:cNvGraphicFramePr/>
              <a:graphic xmlns:a="http://schemas.openxmlformats.org/drawingml/2006/main">
                <a:graphicData uri="http://schemas.microsoft.com/office/word/2010/wordprocessingShape">
                  <wps:wsp>
                    <wps:cNvSpPr txBox="1"/>
                    <wps:spPr>
                      <a:xfrm>
                        <a:off x="0" y="0"/>
                        <a:ext cx="293370" cy="203835"/>
                      </a:xfrm>
                      <a:prstGeom prst="rect">
                        <a:avLst/>
                      </a:prstGeom>
                      <a:noFill/>
                      <a:ln>
                        <a:noFill/>
                      </a:ln>
                    </wps:spPr>
                    <wps:txbx>
                      <w:txbxContent>
                        <w:p>
                          <w:pPr>
                            <w:pStyle w:val="3"/>
                            <w:spacing w:line="321" w:lineRule="exact"/>
                            <w:ind w:left="20"/>
                          </w:pPr>
                          <w:r>
                            <w:t>-</w:t>
                          </w:r>
                          <w:r>
                            <w:fldChar w:fldCharType="begin"/>
                          </w:r>
                          <w:r>
                            <w:instrText xml:space="preserve"> PAGE </w:instrText>
                          </w:r>
                          <w:r>
                            <w:fldChar w:fldCharType="separate"/>
                          </w:r>
                          <w:r>
                            <w:t>2</w:t>
                          </w:r>
                          <w:r>
                            <w:fldChar w:fldCharType="end"/>
                          </w:r>
                          <w:r>
                            <w:t>-</w:t>
                          </w:r>
                        </w:p>
                      </w:txbxContent>
                    </wps:txbx>
                    <wps:bodyPr lIns="0" tIns="0" rIns="0" bIns="0" upright="1"/>
                  </wps:wsp>
                </a:graphicData>
              </a:graphic>
            </wp:anchor>
          </w:drawing>
        </mc:Choice>
        <mc:Fallback>
          <w:pict>
            <v:shape id="文本框 2" o:spid="_x0000_s1026" o:spt="202" type="#_x0000_t202" style="position:absolute;left:0pt;margin-left:488.3pt;margin-top:775.2pt;height:16.05pt;width:23.1pt;mso-position-horizontal-relative:page;mso-position-vertical-relative:page;z-index:-251832320;mso-width-relative:page;mso-height-relative:page;" filled="f" stroked="f" coordsize="21600,21600" o:gfxdata="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II2HFXbAAAADgEAAA8AAAAA&#10;AAAAAQAgAAAAIgAAAGRycy9kb3ducmV2LnhtbFBLAQIUABQAAAAIAIdO4kCIgOVonwEAACMDAAAO&#10;AAAAAAAAAAEAIAAAACoBAABkcnMvZTJvRG9jLnhtbFBLBQYAAAAABgAGAFkBAAA7BQAAAAA=&#10;">
              <v:fill on="f" focussize="0,0"/>
              <v:stroke on="f"/>
              <v:imagedata o:title=""/>
              <o:lock v:ext="edit" aspectratio="f"/>
              <v:textbox inset="0mm,0mm,0mm,0mm">
                <w:txbxContent>
                  <w:p>
                    <w:pPr>
                      <w:pStyle w:val="3"/>
                      <w:spacing w:line="321" w:lineRule="exact"/>
                      <w:ind w:left="20"/>
                    </w:pPr>
                    <w:r>
                      <w:t>-</w:t>
                    </w:r>
                    <w:r>
                      <w:fldChar w:fldCharType="begin"/>
                    </w:r>
                    <w:r>
                      <w:instrText xml:space="preserve"> PAGE </w:instrText>
                    </w:r>
                    <w:r>
                      <w:fldChar w:fldCharType="separate"/>
                    </w:r>
                    <w:r>
                      <w:t>2</w:t>
                    </w:r>
                    <w:r>
                      <w:fldChar w:fldCharType="end"/>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720"/>
  <w:evenAndOddHeaders w:val="1"/>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905163"/>
    <w:rsid w:val="37BD13A0"/>
    <w:rsid w:val="611E4DA6"/>
    <w:rsid w:val="65731E31"/>
    <w:rsid w:val="66725BE8"/>
    <w:rsid w:val="6D884178"/>
    <w:rsid w:val="7A1332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before="54"/>
      <w:ind w:left="557"/>
      <w:jc w:val="center"/>
      <w:outlineLvl w:val="1"/>
    </w:pPr>
    <w:rPr>
      <w:rFonts w:ascii="黑体" w:hAnsi="黑体" w:eastAsia="黑体" w:cs="黑体"/>
      <w:b/>
      <w:bCs/>
      <w:sz w:val="32"/>
      <w:szCs w:val="32"/>
      <w:lang w:val="zh-CN" w:eastAsia="zh-CN" w:bidi="zh-CN"/>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28"/>
      <w:szCs w:val="28"/>
      <w:lang w:val="zh-CN" w:eastAsia="zh-CN" w:bidi="zh-CN"/>
    </w:rPr>
  </w:style>
  <w:style w:type="paragraph" w:styleId="4">
    <w:name w:val="toc 1"/>
    <w:basedOn w:val="1"/>
    <w:next w:val="1"/>
    <w:qFormat/>
    <w:uiPriority w:val="1"/>
    <w:pPr>
      <w:spacing w:before="155"/>
      <w:ind w:left="441"/>
    </w:pPr>
    <w:rPr>
      <w:rFonts w:ascii="黑体" w:hAnsi="黑体" w:eastAsia="黑体" w:cs="黑体"/>
      <w:sz w:val="22"/>
      <w:szCs w:val="22"/>
      <w:lang w:val="zh-CN" w:eastAsia="zh-CN" w:bidi="zh-CN"/>
    </w:rPr>
  </w:style>
  <w:style w:type="paragraph" w:styleId="5">
    <w:name w:val="toc 2"/>
    <w:basedOn w:val="1"/>
    <w:next w:val="1"/>
    <w:uiPriority w:val="0"/>
    <w:pPr>
      <w:ind w:left="420" w:leftChars="200"/>
    </w:p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rPr>
      <w:lang w:val="zh-CN" w:eastAsia="zh-CN" w:bidi="zh-CN"/>
    </w:rPr>
  </w:style>
  <w:style w:type="paragraph" w:customStyle="1" w:styleId="10">
    <w:name w:val="Table Paragraph"/>
    <w:basedOn w:val="1"/>
    <w:qFormat/>
    <w:uiPriority w:val="1"/>
    <w:pPr>
      <w:spacing w:before="2"/>
      <w:ind w:left="115"/>
    </w:pPr>
    <w:rPr>
      <w:rFonts w:ascii="黑体" w:hAnsi="黑体" w:eastAsia="黑体" w:cs="黑体"/>
      <w:lang w:val="zh-CN" w:eastAsia="zh-CN" w:bidi="zh-CN"/>
    </w:rPr>
  </w:style>
  <w:style w:type="paragraph" w:customStyle="1" w:styleId="11">
    <w:name w:val="WPSOffice手动目录 2"/>
    <w:qFormat/>
    <w:uiPriority w:val="0"/>
    <w:pPr>
      <w:ind w:leftChars="200"/>
    </w:pPr>
    <w:rPr>
      <w:rFonts w:asciiTheme="minorHAnsi" w:hAnsiTheme="minorHAnsi" w:eastAsiaTheme="minorHAnsi"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2902</Words>
  <Characters>3153</Characters>
  <TotalTime>19</TotalTime>
  <ScaleCrop>false</ScaleCrop>
  <LinksUpToDate>false</LinksUpToDate>
  <CharactersWithSpaces>3281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2020-06-22T09:53:00Z</dcterms:created>
  <dc:creator>田 冀</dc:creator>
  <cp:lastModifiedBy>hp</cp:lastModifiedBy>
  <cp:lastPrinted>2020-06-23T03:11:59Z</cp:lastPrinted>
  <dcterms:modified xsi:type="dcterms:W3CDTF">2020-06-23T03:21:33Z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2020-05-09T00:00:00Z</vt:filetime>
  </property>
  <property fmtid="{D5CDD505-2E9C-101B-9397-08002B2CF9AE}" pid="3" name="Creator">
    <vt:lpwstr>Microsoft® Word 2016</vt:lpwstr>
  </property>
  <property fmtid="{D5CDD505-2E9C-101B-9397-08002B2CF9AE}" pid="4" name="LastSaved">
    <vt:filetime>2020-06-22T00:00:00Z</vt:filetime>
  </property>
  <property fmtid="{D5CDD505-2E9C-101B-9397-08002B2CF9AE}" pid="5" name="KSOProductBuildVer">
    <vt:lpwstr>2052-11.1.0.9740</vt:lpwstr>
  </property>
</Properties>
</file>